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39" w:leftChars="114" w:firstLine="640" w:firstLineChars="200"/>
        <w:rPr>
          <w:rFonts w:hint="eastAsia" w:ascii="黑体" w:hAnsi="黑体" w:eastAsia="黑体" w:cs="黑体"/>
          <w:color w:val="000000"/>
          <w:sz w:val="32"/>
          <w:szCs w:val="32"/>
        </w:rPr>
      </w:pPr>
      <w:bookmarkStart w:id="0" w:name="_GoBack"/>
      <w:bookmarkEnd w:id="0"/>
      <w:r>
        <w:rPr>
          <w:rFonts w:hint="eastAsia" w:ascii="黑体" w:hAnsi="黑体" w:eastAsia="黑体" w:cs="黑体"/>
          <w:color w:val="000000"/>
          <w:sz w:val="32"/>
          <w:szCs w:val="32"/>
        </w:rPr>
        <w:t>附件2</w:t>
      </w:r>
    </w:p>
    <w:p>
      <w:pPr>
        <w:pStyle w:val="2"/>
        <w:spacing w:line="300" w:lineRule="exact"/>
        <w:rPr>
          <w:rFonts w:hint="eastAsia" w:ascii="仿宋_GB2312"/>
          <w:color w:val="000000"/>
          <w:sz w:val="21"/>
          <w:szCs w:val="21"/>
        </w:rPr>
      </w:pPr>
    </w:p>
    <w:p>
      <w:pPr>
        <w:spacing w:line="560" w:lineRule="exact"/>
        <w:ind w:right="-493" w:rightChars="-235"/>
        <w:jc w:val="center"/>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学科综合水平考试科目、学科、考试大纲及指南使用对照表</w:t>
      </w:r>
    </w:p>
    <w:tbl>
      <w:tblPr>
        <w:tblStyle w:val="3"/>
        <w:tblW w:w="9855" w:type="dxa"/>
        <w:tblInd w:w="-4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920"/>
        <w:gridCol w:w="5295"/>
        <w:gridCol w:w="1455"/>
      </w:tblGrid>
      <w:tr>
        <w:tblPrEx>
          <w:tblCellMar>
            <w:top w:w="0" w:type="dxa"/>
            <w:left w:w="108" w:type="dxa"/>
            <w:bottom w:w="0" w:type="dxa"/>
            <w:right w:w="108" w:type="dxa"/>
          </w:tblCellMar>
        </w:tblPrEx>
        <w:trPr>
          <w:tblHeader/>
        </w:trPr>
        <w:tc>
          <w:tcPr>
            <w:tcW w:w="1185" w:type="dxa"/>
            <w:vAlign w:val="center"/>
          </w:tcPr>
          <w:p>
            <w:pPr>
              <w:jc w:val="center"/>
              <w:rPr>
                <w:rFonts w:eastAsia="方正仿宋简体"/>
                <w:b/>
                <w:color w:val="000000"/>
                <w:sz w:val="24"/>
              </w:rPr>
            </w:pPr>
            <w:r>
              <w:rPr>
                <w:rFonts w:eastAsia="方正仿宋简体"/>
                <w:b/>
                <w:color w:val="000000"/>
                <w:sz w:val="24"/>
              </w:rPr>
              <w:t>考试科目</w:t>
            </w:r>
          </w:p>
        </w:tc>
        <w:tc>
          <w:tcPr>
            <w:tcW w:w="1920" w:type="dxa"/>
            <w:vAlign w:val="center"/>
          </w:tcPr>
          <w:p>
            <w:pPr>
              <w:jc w:val="center"/>
              <w:rPr>
                <w:rFonts w:eastAsia="方正仿宋简体"/>
                <w:b/>
                <w:color w:val="000000"/>
                <w:sz w:val="24"/>
              </w:rPr>
            </w:pPr>
            <w:r>
              <w:rPr>
                <w:rFonts w:eastAsia="方正仿宋简体"/>
                <w:b/>
                <w:color w:val="000000"/>
                <w:sz w:val="24"/>
              </w:rPr>
              <w:t>对应一级学科</w:t>
            </w:r>
          </w:p>
        </w:tc>
        <w:tc>
          <w:tcPr>
            <w:tcW w:w="5295" w:type="dxa"/>
            <w:vAlign w:val="center"/>
          </w:tcPr>
          <w:p>
            <w:pPr>
              <w:jc w:val="center"/>
              <w:rPr>
                <w:rFonts w:eastAsia="方正仿宋简体"/>
                <w:b/>
                <w:color w:val="000000"/>
                <w:sz w:val="24"/>
              </w:rPr>
            </w:pPr>
            <w:r>
              <w:rPr>
                <w:rFonts w:eastAsia="方正仿宋简体"/>
                <w:b/>
                <w:color w:val="000000"/>
                <w:sz w:val="24"/>
              </w:rPr>
              <w:t>考试大纲及指南</w:t>
            </w:r>
          </w:p>
        </w:tc>
        <w:tc>
          <w:tcPr>
            <w:tcW w:w="1455" w:type="dxa"/>
            <w:vAlign w:val="center"/>
          </w:tcPr>
          <w:p>
            <w:pPr>
              <w:jc w:val="center"/>
              <w:rPr>
                <w:rFonts w:eastAsia="方正仿宋简体"/>
                <w:b/>
                <w:color w:val="000000"/>
                <w:sz w:val="24"/>
              </w:rPr>
            </w:pPr>
            <w:r>
              <w:rPr>
                <w:rFonts w:eastAsia="方正仿宋简体"/>
                <w:b/>
                <w:color w:val="000000"/>
                <w:sz w:val="24"/>
              </w:rPr>
              <w:t>考试大纲及指南版本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185" w:type="dxa"/>
            <w:vMerge w:val="restart"/>
            <w:vAlign w:val="center"/>
          </w:tcPr>
          <w:p>
            <w:pPr>
              <w:jc w:val="center"/>
              <w:rPr>
                <w:rFonts w:eastAsia="方正仿宋简体"/>
                <w:color w:val="000000"/>
                <w:sz w:val="24"/>
              </w:rPr>
            </w:pPr>
            <w:r>
              <w:rPr>
                <w:rFonts w:eastAsia="方正仿宋简体"/>
                <w:color w:val="000000"/>
                <w:sz w:val="24"/>
              </w:rPr>
              <w:t>哲学</w:t>
            </w:r>
          </w:p>
        </w:tc>
        <w:tc>
          <w:tcPr>
            <w:tcW w:w="1920" w:type="dxa"/>
            <w:vMerge w:val="restart"/>
            <w:vAlign w:val="center"/>
          </w:tcPr>
          <w:p>
            <w:pPr>
              <w:jc w:val="center"/>
              <w:rPr>
                <w:rFonts w:eastAsia="方正仿宋简体"/>
                <w:color w:val="000000"/>
                <w:sz w:val="24"/>
              </w:rPr>
            </w:pPr>
            <w:r>
              <w:rPr>
                <w:rFonts w:eastAsia="方正仿宋简体"/>
                <w:color w:val="000000"/>
                <w:sz w:val="24"/>
              </w:rPr>
              <w:t>哲学</w:t>
            </w:r>
          </w:p>
          <w:p>
            <w:pPr>
              <w:jc w:val="center"/>
              <w:rPr>
                <w:rFonts w:eastAsia="方正仿宋简体"/>
                <w:color w:val="000000"/>
                <w:sz w:val="24"/>
              </w:rPr>
            </w:pPr>
            <w:r>
              <w:rPr>
                <w:rFonts w:eastAsia="方正仿宋简体"/>
                <w:color w:val="000000"/>
                <w:sz w:val="24"/>
              </w:rPr>
              <w:t>马克思主义理论</w:t>
            </w:r>
          </w:p>
        </w:tc>
        <w:tc>
          <w:tcPr>
            <w:tcW w:w="5295" w:type="dxa"/>
            <w:tcBorders>
              <w:bottom w:val="single" w:color="auto" w:sz="4" w:space="0"/>
            </w:tcBorders>
            <w:vAlign w:val="center"/>
          </w:tcPr>
          <w:p>
            <w:pPr>
              <w:rPr>
                <w:rFonts w:eastAsia="方正仿宋简体"/>
                <w:color w:val="000000"/>
                <w:sz w:val="24"/>
              </w:rPr>
            </w:pPr>
            <w:r>
              <w:rPr>
                <w:rFonts w:eastAsia="方正仿宋简体"/>
                <w:color w:val="000000"/>
                <w:sz w:val="24"/>
              </w:rPr>
              <w:t>《同等学力人员申请硕士学位哲学学科综合水平全国统一考试大纲及指南》</w:t>
            </w:r>
          </w:p>
        </w:tc>
        <w:tc>
          <w:tcPr>
            <w:tcW w:w="1455" w:type="dxa"/>
            <w:tcBorders>
              <w:bottom w:val="single" w:color="auto" w:sz="4" w:space="0"/>
            </w:tcBorders>
            <w:vAlign w:val="center"/>
          </w:tcPr>
          <w:p>
            <w:pPr>
              <w:jc w:val="center"/>
              <w:rPr>
                <w:rFonts w:eastAsia="方正仿宋简体"/>
                <w:color w:val="000000"/>
                <w:sz w:val="24"/>
              </w:rPr>
            </w:pPr>
            <w:r>
              <w:rPr>
                <w:rFonts w:eastAsia="方正仿宋简体"/>
                <w:color w:val="000000"/>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trPr>
        <w:tc>
          <w:tcPr>
            <w:tcW w:w="1185" w:type="dxa"/>
            <w:vMerge w:val="continue"/>
            <w:vAlign w:val="center"/>
          </w:tcPr>
          <w:p>
            <w:pPr>
              <w:jc w:val="center"/>
              <w:rPr>
                <w:rFonts w:eastAsia="方正仿宋简体"/>
                <w:color w:val="000000"/>
                <w:sz w:val="24"/>
              </w:rPr>
            </w:pPr>
          </w:p>
        </w:tc>
        <w:tc>
          <w:tcPr>
            <w:tcW w:w="1920" w:type="dxa"/>
            <w:vMerge w:val="continue"/>
            <w:vAlign w:val="center"/>
          </w:tcPr>
          <w:p>
            <w:pPr>
              <w:jc w:val="center"/>
              <w:rPr>
                <w:rFonts w:eastAsia="方正仿宋简体"/>
                <w:color w:val="000000"/>
                <w:sz w:val="24"/>
              </w:rPr>
            </w:pPr>
          </w:p>
        </w:tc>
        <w:tc>
          <w:tcPr>
            <w:tcW w:w="5295" w:type="dxa"/>
            <w:vAlign w:val="center"/>
          </w:tcPr>
          <w:p>
            <w:pPr>
              <w:rPr>
                <w:rFonts w:eastAsia="方正仿宋简体"/>
                <w:color w:val="000000"/>
                <w:sz w:val="24"/>
              </w:rPr>
            </w:pPr>
            <w:r>
              <w:rPr>
                <w:rFonts w:eastAsia="方正仿宋简体"/>
                <w:color w:val="000000"/>
                <w:sz w:val="24"/>
              </w:rPr>
              <w:t>《同等学力人员申请硕士学位哲学学科综合水平全国统一考试大纲补充说明》</w:t>
            </w:r>
          </w:p>
        </w:tc>
        <w:tc>
          <w:tcPr>
            <w:tcW w:w="1455" w:type="dxa"/>
            <w:vAlign w:val="center"/>
          </w:tcPr>
          <w:p>
            <w:pPr>
              <w:jc w:val="center"/>
              <w:rPr>
                <w:rFonts w:eastAsia="方正仿宋简体"/>
                <w:color w:val="000000"/>
                <w:sz w:val="24"/>
                <w:highlight w:val="yellow"/>
              </w:rPr>
            </w:pPr>
            <w:r>
              <w:rPr>
                <w:rFonts w:eastAsia="方正仿宋简体"/>
                <w:color w:val="000000"/>
                <w:sz w:val="24"/>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7" w:hRule="atLeast"/>
        </w:trPr>
        <w:tc>
          <w:tcPr>
            <w:tcW w:w="1185" w:type="dxa"/>
            <w:vMerge w:val="continue"/>
            <w:vAlign w:val="center"/>
          </w:tcPr>
          <w:p>
            <w:pPr>
              <w:jc w:val="center"/>
              <w:rPr>
                <w:rFonts w:eastAsia="方正仿宋简体"/>
                <w:color w:val="000000"/>
                <w:sz w:val="24"/>
              </w:rPr>
            </w:pPr>
          </w:p>
        </w:tc>
        <w:tc>
          <w:tcPr>
            <w:tcW w:w="1920" w:type="dxa"/>
            <w:vMerge w:val="continue"/>
            <w:vAlign w:val="center"/>
          </w:tcPr>
          <w:p>
            <w:pPr>
              <w:jc w:val="center"/>
              <w:rPr>
                <w:rFonts w:eastAsia="方正仿宋简体"/>
                <w:color w:val="000000"/>
                <w:sz w:val="24"/>
              </w:rPr>
            </w:pPr>
          </w:p>
        </w:tc>
        <w:tc>
          <w:tcPr>
            <w:tcW w:w="5295" w:type="dxa"/>
            <w:vAlign w:val="center"/>
          </w:tcPr>
          <w:p>
            <w:pPr>
              <w:rPr>
                <w:rFonts w:eastAsia="方正仿宋简体"/>
                <w:color w:val="000000"/>
                <w:sz w:val="24"/>
              </w:rPr>
            </w:pPr>
            <w:r>
              <w:rPr>
                <w:rFonts w:eastAsia="方正仿宋简体"/>
                <w:color w:val="000000"/>
                <w:sz w:val="24"/>
              </w:rPr>
              <w:t>《同等学力人员申请硕士学位哲学学科综合水平全国统一考试试卷结构调整说明》</w:t>
            </w:r>
          </w:p>
        </w:tc>
        <w:tc>
          <w:tcPr>
            <w:tcW w:w="1455" w:type="dxa"/>
            <w:vAlign w:val="center"/>
          </w:tcPr>
          <w:p>
            <w:pPr>
              <w:jc w:val="center"/>
              <w:rPr>
                <w:rFonts w:eastAsia="方正仿宋简体"/>
                <w:color w:val="000000"/>
                <w:sz w:val="24"/>
              </w:rPr>
            </w:pPr>
            <w:r>
              <w:rPr>
                <w:rFonts w:eastAsia="方正仿宋简体"/>
                <w:color w:val="000000"/>
                <w:sz w:val="24"/>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1185" w:type="dxa"/>
            <w:vMerge w:val="restart"/>
            <w:vAlign w:val="center"/>
          </w:tcPr>
          <w:p>
            <w:pPr>
              <w:jc w:val="center"/>
              <w:rPr>
                <w:rFonts w:eastAsia="方正仿宋简体"/>
                <w:color w:val="000000"/>
                <w:sz w:val="24"/>
              </w:rPr>
            </w:pPr>
            <w:r>
              <w:rPr>
                <w:rFonts w:eastAsia="方正仿宋简体"/>
                <w:color w:val="000000"/>
                <w:sz w:val="24"/>
              </w:rPr>
              <w:t>经济学</w:t>
            </w:r>
          </w:p>
        </w:tc>
        <w:tc>
          <w:tcPr>
            <w:tcW w:w="1920" w:type="dxa"/>
            <w:vAlign w:val="center"/>
          </w:tcPr>
          <w:p>
            <w:pPr>
              <w:jc w:val="center"/>
              <w:rPr>
                <w:rFonts w:eastAsia="方正仿宋简体"/>
                <w:color w:val="000000"/>
                <w:sz w:val="24"/>
              </w:rPr>
            </w:pPr>
            <w:r>
              <w:rPr>
                <w:rFonts w:eastAsia="方正仿宋简体"/>
                <w:color w:val="000000"/>
                <w:sz w:val="24"/>
              </w:rPr>
              <w:t>理论经济学</w:t>
            </w:r>
          </w:p>
        </w:tc>
        <w:tc>
          <w:tcPr>
            <w:tcW w:w="5295" w:type="dxa"/>
            <w:vMerge w:val="restart"/>
            <w:vAlign w:val="center"/>
          </w:tcPr>
          <w:p>
            <w:pPr>
              <w:rPr>
                <w:rFonts w:eastAsia="方正仿宋简体"/>
                <w:color w:val="000000"/>
                <w:sz w:val="24"/>
              </w:rPr>
            </w:pPr>
            <w:r>
              <w:rPr>
                <w:rFonts w:eastAsia="方正仿宋简体"/>
                <w:color w:val="000000"/>
                <w:sz w:val="24"/>
              </w:rPr>
              <w:t>《同等学力人员申请硕士学位经济学学科综合水平全国统一考试大纲及指南》</w:t>
            </w:r>
          </w:p>
        </w:tc>
        <w:tc>
          <w:tcPr>
            <w:tcW w:w="1455" w:type="dxa"/>
            <w:vMerge w:val="restart"/>
            <w:vAlign w:val="center"/>
          </w:tcPr>
          <w:p>
            <w:pPr>
              <w:jc w:val="center"/>
              <w:rPr>
                <w:rFonts w:eastAsia="方正仿宋简体"/>
                <w:color w:val="000000"/>
                <w:sz w:val="24"/>
              </w:rPr>
            </w:pPr>
            <w:r>
              <w:rPr>
                <w:rFonts w:eastAsia="方正仿宋简体"/>
                <w:color w:val="000000"/>
                <w:sz w:val="24"/>
              </w:rPr>
              <w:t>第四版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185" w:type="dxa"/>
            <w:vMerge w:val="continue"/>
            <w:vAlign w:val="center"/>
          </w:tcPr>
          <w:p>
            <w:pPr>
              <w:jc w:val="center"/>
              <w:rPr>
                <w:rFonts w:eastAsia="方正仿宋简体"/>
                <w:color w:val="000000"/>
                <w:sz w:val="24"/>
              </w:rPr>
            </w:pPr>
          </w:p>
        </w:tc>
        <w:tc>
          <w:tcPr>
            <w:tcW w:w="1920" w:type="dxa"/>
            <w:vAlign w:val="center"/>
          </w:tcPr>
          <w:p>
            <w:pPr>
              <w:jc w:val="center"/>
              <w:rPr>
                <w:rFonts w:eastAsia="方正仿宋简体"/>
                <w:color w:val="000000"/>
                <w:sz w:val="24"/>
              </w:rPr>
            </w:pPr>
            <w:r>
              <w:rPr>
                <w:rFonts w:eastAsia="方正仿宋简体"/>
                <w:color w:val="000000"/>
                <w:sz w:val="24"/>
              </w:rPr>
              <w:t>应用经济学</w:t>
            </w:r>
          </w:p>
        </w:tc>
        <w:tc>
          <w:tcPr>
            <w:tcW w:w="5295" w:type="dxa"/>
            <w:vMerge w:val="continue"/>
            <w:vAlign w:val="center"/>
          </w:tcPr>
          <w:p>
            <w:pPr>
              <w:rPr>
                <w:rFonts w:eastAsia="方正仿宋简体"/>
                <w:color w:val="000000"/>
                <w:sz w:val="24"/>
              </w:rPr>
            </w:pPr>
          </w:p>
        </w:tc>
        <w:tc>
          <w:tcPr>
            <w:tcW w:w="1455" w:type="dxa"/>
            <w:vMerge w:val="continue"/>
            <w:vAlign w:val="center"/>
          </w:tcPr>
          <w:p>
            <w:pPr>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5" w:type="dxa"/>
            <w:vAlign w:val="center"/>
          </w:tcPr>
          <w:p>
            <w:pPr>
              <w:jc w:val="center"/>
              <w:rPr>
                <w:rFonts w:eastAsia="方正仿宋简体"/>
                <w:color w:val="000000"/>
                <w:sz w:val="24"/>
              </w:rPr>
            </w:pPr>
            <w:r>
              <w:rPr>
                <w:rFonts w:eastAsia="方正仿宋简体"/>
                <w:color w:val="000000"/>
                <w:sz w:val="24"/>
              </w:rPr>
              <w:t>法学</w:t>
            </w:r>
          </w:p>
        </w:tc>
        <w:tc>
          <w:tcPr>
            <w:tcW w:w="1920" w:type="dxa"/>
            <w:vAlign w:val="center"/>
          </w:tcPr>
          <w:p>
            <w:pPr>
              <w:jc w:val="center"/>
              <w:rPr>
                <w:rFonts w:eastAsia="方正仿宋简体"/>
                <w:color w:val="000000"/>
                <w:sz w:val="24"/>
              </w:rPr>
            </w:pPr>
            <w:r>
              <w:rPr>
                <w:rFonts w:eastAsia="方正仿宋简体"/>
                <w:color w:val="000000"/>
                <w:sz w:val="24"/>
              </w:rPr>
              <w:t>法学</w:t>
            </w:r>
          </w:p>
        </w:tc>
        <w:tc>
          <w:tcPr>
            <w:tcW w:w="5295" w:type="dxa"/>
            <w:vAlign w:val="center"/>
          </w:tcPr>
          <w:p>
            <w:pPr>
              <w:rPr>
                <w:rFonts w:eastAsia="方正仿宋简体"/>
                <w:color w:val="000000"/>
                <w:sz w:val="24"/>
              </w:rPr>
            </w:pPr>
            <w:r>
              <w:rPr>
                <w:rFonts w:eastAsia="方正仿宋简体"/>
                <w:color w:val="000000"/>
                <w:sz w:val="24"/>
              </w:rPr>
              <w:t>《同等学力人员申请硕士学位法学学科综合水平全国统一考试大纲及说明》</w:t>
            </w:r>
          </w:p>
        </w:tc>
        <w:tc>
          <w:tcPr>
            <w:tcW w:w="1455" w:type="dxa"/>
            <w:vAlign w:val="center"/>
          </w:tcPr>
          <w:p>
            <w:pPr>
              <w:jc w:val="center"/>
              <w:rPr>
                <w:rFonts w:eastAsia="方正仿宋简体"/>
                <w:color w:val="000000"/>
                <w:sz w:val="24"/>
              </w:rPr>
            </w:pPr>
            <w:r>
              <w:rPr>
                <w:rFonts w:eastAsia="方正仿宋简体"/>
                <w:color w:val="000000"/>
                <w:sz w:val="24"/>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trPr>
        <w:tc>
          <w:tcPr>
            <w:tcW w:w="1185" w:type="dxa"/>
            <w:vMerge w:val="restart"/>
            <w:tcBorders>
              <w:bottom w:val="single" w:color="auto" w:sz="4" w:space="0"/>
            </w:tcBorders>
            <w:vAlign w:val="center"/>
          </w:tcPr>
          <w:p>
            <w:pPr>
              <w:jc w:val="center"/>
              <w:rPr>
                <w:rFonts w:eastAsia="方正仿宋简体"/>
                <w:color w:val="000000"/>
                <w:sz w:val="24"/>
              </w:rPr>
            </w:pPr>
            <w:r>
              <w:rPr>
                <w:rFonts w:eastAsia="方正仿宋简体"/>
                <w:color w:val="000000"/>
                <w:sz w:val="24"/>
              </w:rPr>
              <w:t>政治学</w:t>
            </w:r>
          </w:p>
        </w:tc>
        <w:tc>
          <w:tcPr>
            <w:tcW w:w="1920" w:type="dxa"/>
            <w:vMerge w:val="restart"/>
            <w:vAlign w:val="center"/>
          </w:tcPr>
          <w:p>
            <w:pPr>
              <w:jc w:val="center"/>
              <w:rPr>
                <w:rFonts w:eastAsia="方正仿宋简体"/>
                <w:color w:val="000000"/>
                <w:sz w:val="24"/>
              </w:rPr>
            </w:pPr>
            <w:r>
              <w:rPr>
                <w:rFonts w:eastAsia="方正仿宋简体"/>
                <w:color w:val="000000"/>
                <w:sz w:val="24"/>
              </w:rPr>
              <w:t>政治学</w:t>
            </w:r>
          </w:p>
          <w:p>
            <w:pPr>
              <w:jc w:val="center"/>
              <w:rPr>
                <w:rFonts w:eastAsia="方正仿宋简体"/>
                <w:color w:val="000000"/>
                <w:sz w:val="24"/>
              </w:rPr>
            </w:pPr>
            <w:r>
              <w:rPr>
                <w:rFonts w:eastAsia="方正仿宋简体"/>
                <w:color w:val="000000"/>
                <w:sz w:val="24"/>
              </w:rPr>
              <w:t>马克思主义理论</w:t>
            </w:r>
          </w:p>
        </w:tc>
        <w:tc>
          <w:tcPr>
            <w:tcW w:w="5295" w:type="dxa"/>
            <w:tcBorders>
              <w:bottom w:val="single" w:color="auto" w:sz="4" w:space="0"/>
            </w:tcBorders>
            <w:vAlign w:val="center"/>
          </w:tcPr>
          <w:p>
            <w:pPr>
              <w:rPr>
                <w:rFonts w:eastAsia="方正仿宋简体"/>
                <w:color w:val="000000"/>
                <w:sz w:val="24"/>
              </w:rPr>
            </w:pPr>
            <w:r>
              <w:rPr>
                <w:rFonts w:eastAsia="方正仿宋简体"/>
                <w:color w:val="000000"/>
                <w:sz w:val="24"/>
              </w:rPr>
              <w:t>《同等学力人员申请硕士学位政治学学科综合水平全国统一考试大纲及指南》</w:t>
            </w:r>
          </w:p>
        </w:tc>
        <w:tc>
          <w:tcPr>
            <w:tcW w:w="1455" w:type="dxa"/>
            <w:tcBorders>
              <w:bottom w:val="single" w:color="auto" w:sz="4" w:space="0"/>
            </w:tcBorders>
            <w:vAlign w:val="center"/>
          </w:tcPr>
          <w:p>
            <w:pPr>
              <w:jc w:val="center"/>
              <w:rPr>
                <w:rFonts w:eastAsia="方正仿宋简体"/>
                <w:color w:val="000000"/>
                <w:sz w:val="24"/>
              </w:rPr>
            </w:pPr>
            <w:r>
              <w:rPr>
                <w:rFonts w:eastAsia="方正仿宋简体"/>
                <w:color w:val="000000"/>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1185" w:type="dxa"/>
            <w:vMerge w:val="continue"/>
            <w:vAlign w:val="center"/>
          </w:tcPr>
          <w:p>
            <w:pPr>
              <w:jc w:val="center"/>
              <w:rPr>
                <w:rFonts w:eastAsia="方正仿宋简体"/>
                <w:color w:val="000000"/>
                <w:sz w:val="24"/>
              </w:rPr>
            </w:pPr>
          </w:p>
        </w:tc>
        <w:tc>
          <w:tcPr>
            <w:tcW w:w="1920" w:type="dxa"/>
            <w:vMerge w:val="continue"/>
            <w:vAlign w:val="center"/>
          </w:tcPr>
          <w:p>
            <w:pPr>
              <w:jc w:val="center"/>
              <w:rPr>
                <w:rFonts w:eastAsia="方正仿宋简体"/>
                <w:color w:val="000000"/>
                <w:sz w:val="24"/>
              </w:rPr>
            </w:pPr>
          </w:p>
        </w:tc>
        <w:tc>
          <w:tcPr>
            <w:tcW w:w="5295" w:type="dxa"/>
            <w:vAlign w:val="center"/>
          </w:tcPr>
          <w:p>
            <w:pPr>
              <w:rPr>
                <w:rFonts w:eastAsia="方正仿宋简体"/>
                <w:color w:val="000000"/>
                <w:sz w:val="24"/>
              </w:rPr>
            </w:pPr>
            <w:r>
              <w:rPr>
                <w:rFonts w:eastAsia="方正仿宋简体"/>
                <w:color w:val="000000"/>
                <w:sz w:val="24"/>
              </w:rPr>
              <w:t>《同等学力人员申请硕士学位政治学学科综合水平全国统一考试大纲补充说明》</w:t>
            </w:r>
          </w:p>
        </w:tc>
        <w:tc>
          <w:tcPr>
            <w:tcW w:w="1455" w:type="dxa"/>
            <w:vAlign w:val="center"/>
          </w:tcPr>
          <w:p>
            <w:pPr>
              <w:jc w:val="center"/>
              <w:rPr>
                <w:rFonts w:eastAsia="方正仿宋简体"/>
                <w:color w:val="000000"/>
                <w:sz w:val="24"/>
                <w:highlight w:val="yellow"/>
              </w:rPr>
            </w:pPr>
            <w:r>
              <w:rPr>
                <w:rFonts w:eastAsia="方正仿宋简体"/>
                <w:color w:val="000000"/>
                <w:sz w:val="24"/>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5" w:type="dxa"/>
            <w:vMerge w:val="restart"/>
            <w:vAlign w:val="center"/>
          </w:tcPr>
          <w:p>
            <w:pPr>
              <w:jc w:val="center"/>
              <w:rPr>
                <w:rFonts w:eastAsia="方正仿宋简体"/>
                <w:color w:val="000000"/>
                <w:sz w:val="24"/>
              </w:rPr>
            </w:pPr>
            <w:r>
              <w:rPr>
                <w:rFonts w:eastAsia="方正仿宋简体"/>
                <w:color w:val="000000"/>
                <w:sz w:val="24"/>
              </w:rPr>
              <w:t>社会学</w:t>
            </w:r>
          </w:p>
        </w:tc>
        <w:tc>
          <w:tcPr>
            <w:tcW w:w="1920" w:type="dxa"/>
            <w:vMerge w:val="restart"/>
            <w:vAlign w:val="center"/>
          </w:tcPr>
          <w:p>
            <w:pPr>
              <w:jc w:val="center"/>
              <w:rPr>
                <w:rFonts w:eastAsia="方正仿宋简体"/>
                <w:color w:val="000000"/>
                <w:sz w:val="24"/>
              </w:rPr>
            </w:pPr>
            <w:r>
              <w:rPr>
                <w:rFonts w:eastAsia="方正仿宋简体"/>
                <w:color w:val="000000"/>
                <w:sz w:val="24"/>
              </w:rPr>
              <w:t>社会学</w:t>
            </w:r>
          </w:p>
        </w:tc>
        <w:tc>
          <w:tcPr>
            <w:tcW w:w="5295" w:type="dxa"/>
            <w:vAlign w:val="center"/>
          </w:tcPr>
          <w:p>
            <w:pPr>
              <w:rPr>
                <w:rFonts w:eastAsia="方正仿宋简体"/>
                <w:color w:val="000000"/>
                <w:sz w:val="24"/>
              </w:rPr>
            </w:pPr>
            <w:r>
              <w:rPr>
                <w:rFonts w:eastAsia="方正仿宋简体"/>
                <w:color w:val="000000"/>
                <w:sz w:val="24"/>
              </w:rPr>
              <w:t>《同等学力人员申请硕士学位社会学学科综合水平全国统一考试大纲及指南》</w:t>
            </w:r>
          </w:p>
        </w:tc>
        <w:tc>
          <w:tcPr>
            <w:tcW w:w="1455" w:type="dxa"/>
            <w:vAlign w:val="center"/>
          </w:tcPr>
          <w:p>
            <w:pPr>
              <w:jc w:val="center"/>
              <w:rPr>
                <w:rFonts w:eastAsia="方正仿宋简体"/>
                <w:color w:val="000000"/>
                <w:sz w:val="24"/>
              </w:rPr>
            </w:pPr>
            <w:r>
              <w:rPr>
                <w:rFonts w:eastAsia="方正仿宋简体"/>
                <w:color w:val="000000"/>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0" w:hRule="atLeast"/>
        </w:trPr>
        <w:tc>
          <w:tcPr>
            <w:tcW w:w="1185" w:type="dxa"/>
            <w:vMerge w:val="continue"/>
            <w:vAlign w:val="center"/>
          </w:tcPr>
          <w:p>
            <w:pPr>
              <w:jc w:val="center"/>
              <w:rPr>
                <w:rFonts w:eastAsia="方正仿宋简体"/>
                <w:color w:val="000000"/>
                <w:sz w:val="24"/>
              </w:rPr>
            </w:pPr>
          </w:p>
        </w:tc>
        <w:tc>
          <w:tcPr>
            <w:tcW w:w="1920" w:type="dxa"/>
            <w:vMerge w:val="continue"/>
            <w:vAlign w:val="center"/>
          </w:tcPr>
          <w:p>
            <w:pPr>
              <w:jc w:val="center"/>
              <w:rPr>
                <w:rFonts w:eastAsia="方正仿宋简体"/>
                <w:color w:val="000000"/>
                <w:sz w:val="24"/>
              </w:rPr>
            </w:pPr>
          </w:p>
        </w:tc>
        <w:tc>
          <w:tcPr>
            <w:tcW w:w="5295" w:type="dxa"/>
            <w:vAlign w:val="center"/>
          </w:tcPr>
          <w:p>
            <w:pPr>
              <w:rPr>
                <w:rFonts w:eastAsia="方正仿宋简体"/>
                <w:color w:val="000000"/>
                <w:sz w:val="24"/>
              </w:rPr>
            </w:pPr>
            <w:r>
              <w:rPr>
                <w:rFonts w:eastAsia="方正仿宋简体"/>
                <w:color w:val="000000"/>
                <w:sz w:val="24"/>
              </w:rPr>
              <w:t>《同等学力人员申请硕士学位社会学学科综合水平全国统一考试试卷结构调整说明》</w:t>
            </w:r>
          </w:p>
        </w:tc>
        <w:tc>
          <w:tcPr>
            <w:tcW w:w="1455" w:type="dxa"/>
            <w:vAlign w:val="center"/>
          </w:tcPr>
          <w:p>
            <w:pPr>
              <w:jc w:val="center"/>
              <w:rPr>
                <w:rFonts w:eastAsia="方正仿宋简体"/>
                <w:color w:val="000000"/>
                <w:sz w:val="24"/>
              </w:rPr>
            </w:pPr>
            <w:r>
              <w:rPr>
                <w:rFonts w:eastAsia="方正仿宋简体"/>
                <w:color w:val="000000"/>
                <w:sz w:val="24"/>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5" w:type="dxa"/>
            <w:vAlign w:val="center"/>
          </w:tcPr>
          <w:p>
            <w:pPr>
              <w:jc w:val="center"/>
              <w:rPr>
                <w:rFonts w:eastAsia="方正仿宋简体"/>
                <w:color w:val="000000"/>
                <w:sz w:val="24"/>
              </w:rPr>
            </w:pPr>
            <w:r>
              <w:rPr>
                <w:rFonts w:eastAsia="方正仿宋简体"/>
                <w:color w:val="000000"/>
                <w:sz w:val="24"/>
              </w:rPr>
              <w:t>教育学</w:t>
            </w:r>
          </w:p>
        </w:tc>
        <w:tc>
          <w:tcPr>
            <w:tcW w:w="1920" w:type="dxa"/>
            <w:vAlign w:val="center"/>
          </w:tcPr>
          <w:p>
            <w:pPr>
              <w:jc w:val="center"/>
              <w:rPr>
                <w:rFonts w:eastAsia="方正仿宋简体"/>
                <w:color w:val="000000"/>
                <w:sz w:val="24"/>
              </w:rPr>
            </w:pPr>
            <w:r>
              <w:rPr>
                <w:rFonts w:eastAsia="方正仿宋简体"/>
                <w:color w:val="000000"/>
                <w:sz w:val="24"/>
              </w:rPr>
              <w:t>教育学</w:t>
            </w:r>
          </w:p>
        </w:tc>
        <w:tc>
          <w:tcPr>
            <w:tcW w:w="5295" w:type="dxa"/>
            <w:vAlign w:val="center"/>
          </w:tcPr>
          <w:p>
            <w:pPr>
              <w:rPr>
                <w:rFonts w:eastAsia="方正仿宋简体"/>
                <w:color w:val="000000"/>
                <w:sz w:val="24"/>
              </w:rPr>
            </w:pPr>
            <w:r>
              <w:rPr>
                <w:rFonts w:eastAsia="方正仿宋简体"/>
                <w:color w:val="000000"/>
                <w:sz w:val="24"/>
              </w:rPr>
              <w:t>《同等学力人员申请硕士学位教育学学科综合水平全国统一考试大纲及指南》</w:t>
            </w:r>
          </w:p>
        </w:tc>
        <w:tc>
          <w:tcPr>
            <w:tcW w:w="1455" w:type="dxa"/>
            <w:vAlign w:val="center"/>
          </w:tcPr>
          <w:p>
            <w:pPr>
              <w:jc w:val="center"/>
              <w:rPr>
                <w:rFonts w:eastAsia="方正仿宋简体"/>
                <w:color w:val="000000"/>
                <w:sz w:val="24"/>
              </w:rPr>
            </w:pPr>
            <w:r>
              <w:rPr>
                <w:rFonts w:eastAsia="方正仿宋简体"/>
                <w:color w:val="000000"/>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5" w:type="dxa"/>
            <w:vAlign w:val="center"/>
          </w:tcPr>
          <w:p>
            <w:pPr>
              <w:jc w:val="center"/>
              <w:rPr>
                <w:rFonts w:eastAsia="方正仿宋简体"/>
                <w:color w:val="000000"/>
                <w:sz w:val="24"/>
              </w:rPr>
            </w:pPr>
            <w:r>
              <w:rPr>
                <w:rFonts w:eastAsia="方正仿宋简体"/>
                <w:color w:val="000000"/>
                <w:sz w:val="24"/>
              </w:rPr>
              <w:t>心理学</w:t>
            </w:r>
          </w:p>
        </w:tc>
        <w:tc>
          <w:tcPr>
            <w:tcW w:w="1920" w:type="dxa"/>
            <w:vAlign w:val="center"/>
          </w:tcPr>
          <w:p>
            <w:pPr>
              <w:jc w:val="center"/>
              <w:rPr>
                <w:rFonts w:eastAsia="方正仿宋简体"/>
                <w:color w:val="000000"/>
                <w:sz w:val="24"/>
              </w:rPr>
            </w:pPr>
            <w:r>
              <w:rPr>
                <w:rFonts w:eastAsia="方正仿宋简体"/>
                <w:color w:val="000000"/>
                <w:sz w:val="24"/>
              </w:rPr>
              <w:t>心理学</w:t>
            </w:r>
          </w:p>
        </w:tc>
        <w:tc>
          <w:tcPr>
            <w:tcW w:w="5295" w:type="dxa"/>
            <w:vAlign w:val="center"/>
          </w:tcPr>
          <w:p>
            <w:pPr>
              <w:rPr>
                <w:rFonts w:eastAsia="方正仿宋简体"/>
                <w:color w:val="000000"/>
                <w:sz w:val="24"/>
              </w:rPr>
            </w:pPr>
            <w:r>
              <w:rPr>
                <w:rFonts w:eastAsia="方正仿宋简体"/>
                <w:color w:val="000000"/>
                <w:sz w:val="24"/>
              </w:rPr>
              <w:t>《同等学力人员申请硕士学位心理学学科综合水平全国统一考试大纲及指南》</w:t>
            </w:r>
          </w:p>
        </w:tc>
        <w:tc>
          <w:tcPr>
            <w:tcW w:w="1455" w:type="dxa"/>
            <w:vAlign w:val="center"/>
          </w:tcPr>
          <w:p>
            <w:pPr>
              <w:jc w:val="center"/>
              <w:rPr>
                <w:rFonts w:eastAsia="方正仿宋简体"/>
                <w:color w:val="000000"/>
                <w:sz w:val="24"/>
              </w:rPr>
            </w:pPr>
            <w:r>
              <w:rPr>
                <w:rFonts w:eastAsia="方正仿宋简体"/>
                <w:color w:val="000000"/>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5" w:type="dxa"/>
            <w:vAlign w:val="center"/>
          </w:tcPr>
          <w:p>
            <w:pPr>
              <w:jc w:val="center"/>
              <w:rPr>
                <w:rFonts w:eastAsia="方正仿宋简体"/>
                <w:color w:val="000000"/>
                <w:sz w:val="24"/>
              </w:rPr>
            </w:pPr>
            <w:r>
              <w:rPr>
                <w:rFonts w:eastAsia="方正仿宋简体"/>
                <w:color w:val="000000"/>
                <w:sz w:val="24"/>
              </w:rPr>
              <w:t>中国语言文学</w:t>
            </w:r>
          </w:p>
        </w:tc>
        <w:tc>
          <w:tcPr>
            <w:tcW w:w="1920" w:type="dxa"/>
            <w:vAlign w:val="center"/>
          </w:tcPr>
          <w:p>
            <w:pPr>
              <w:jc w:val="center"/>
              <w:rPr>
                <w:rFonts w:eastAsia="方正仿宋简体"/>
                <w:color w:val="000000"/>
                <w:sz w:val="24"/>
              </w:rPr>
            </w:pPr>
            <w:r>
              <w:rPr>
                <w:rFonts w:eastAsia="方正仿宋简体"/>
                <w:color w:val="000000"/>
                <w:sz w:val="24"/>
              </w:rPr>
              <w:t>中国语言文学</w:t>
            </w:r>
          </w:p>
        </w:tc>
        <w:tc>
          <w:tcPr>
            <w:tcW w:w="5295" w:type="dxa"/>
            <w:vAlign w:val="center"/>
          </w:tcPr>
          <w:p>
            <w:pPr>
              <w:rPr>
                <w:rFonts w:eastAsia="方正仿宋简体"/>
                <w:color w:val="000000"/>
                <w:sz w:val="24"/>
              </w:rPr>
            </w:pPr>
            <w:r>
              <w:rPr>
                <w:rFonts w:eastAsia="方正仿宋简体"/>
                <w:color w:val="000000"/>
                <w:sz w:val="24"/>
              </w:rPr>
              <w:t>《同等学力人员申请硕士学位中国语言文学学科综合水平全国统一考试大纲及指南》</w:t>
            </w:r>
          </w:p>
        </w:tc>
        <w:tc>
          <w:tcPr>
            <w:tcW w:w="1455" w:type="dxa"/>
            <w:vAlign w:val="center"/>
          </w:tcPr>
          <w:p>
            <w:pPr>
              <w:jc w:val="center"/>
              <w:rPr>
                <w:rFonts w:eastAsia="方正仿宋简体"/>
                <w:color w:val="000000"/>
                <w:sz w:val="24"/>
              </w:rPr>
            </w:pPr>
            <w:r>
              <w:rPr>
                <w:rFonts w:eastAsia="方正仿宋简体"/>
                <w:color w:val="000000"/>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5" w:type="dxa"/>
            <w:vAlign w:val="center"/>
          </w:tcPr>
          <w:p>
            <w:pPr>
              <w:jc w:val="center"/>
              <w:rPr>
                <w:rFonts w:eastAsia="方正仿宋简体"/>
                <w:color w:val="000000"/>
                <w:sz w:val="24"/>
              </w:rPr>
            </w:pPr>
            <w:r>
              <w:rPr>
                <w:rFonts w:eastAsia="方正仿宋简体"/>
                <w:color w:val="000000"/>
                <w:sz w:val="24"/>
              </w:rPr>
              <w:t>新闻传播学</w:t>
            </w:r>
          </w:p>
        </w:tc>
        <w:tc>
          <w:tcPr>
            <w:tcW w:w="1920" w:type="dxa"/>
            <w:vAlign w:val="center"/>
          </w:tcPr>
          <w:p>
            <w:pPr>
              <w:jc w:val="center"/>
              <w:rPr>
                <w:rFonts w:eastAsia="方正仿宋简体"/>
                <w:color w:val="000000"/>
                <w:sz w:val="24"/>
              </w:rPr>
            </w:pPr>
            <w:r>
              <w:rPr>
                <w:rFonts w:eastAsia="方正仿宋简体"/>
                <w:color w:val="000000"/>
                <w:sz w:val="24"/>
              </w:rPr>
              <w:t>新闻传播学</w:t>
            </w:r>
          </w:p>
        </w:tc>
        <w:tc>
          <w:tcPr>
            <w:tcW w:w="5295" w:type="dxa"/>
            <w:vAlign w:val="center"/>
          </w:tcPr>
          <w:p>
            <w:pPr>
              <w:rPr>
                <w:rFonts w:eastAsia="方正仿宋简体"/>
                <w:color w:val="000000"/>
                <w:sz w:val="24"/>
              </w:rPr>
            </w:pPr>
            <w:r>
              <w:rPr>
                <w:rFonts w:eastAsia="方正仿宋简体"/>
                <w:color w:val="000000"/>
                <w:sz w:val="24"/>
              </w:rPr>
              <w:t>《同等学力人员申请硕士学位新闻传播学学科综合水平全国统一考试大纲及指南》</w:t>
            </w:r>
          </w:p>
        </w:tc>
        <w:tc>
          <w:tcPr>
            <w:tcW w:w="1455" w:type="dxa"/>
            <w:vAlign w:val="center"/>
          </w:tcPr>
          <w:p>
            <w:pPr>
              <w:jc w:val="center"/>
              <w:rPr>
                <w:rFonts w:eastAsia="方正仿宋简体"/>
                <w:color w:val="000000"/>
                <w:sz w:val="24"/>
              </w:rPr>
            </w:pPr>
            <w:r>
              <w:rPr>
                <w:rFonts w:eastAsia="方正仿宋简体"/>
                <w:color w:val="000000"/>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1185" w:type="dxa"/>
            <w:vMerge w:val="restart"/>
            <w:vAlign w:val="center"/>
          </w:tcPr>
          <w:p>
            <w:pPr>
              <w:spacing w:line="420" w:lineRule="exact"/>
              <w:jc w:val="center"/>
              <w:rPr>
                <w:rFonts w:eastAsia="方正仿宋简体"/>
                <w:color w:val="000000"/>
                <w:sz w:val="24"/>
              </w:rPr>
            </w:pPr>
            <w:r>
              <w:rPr>
                <w:rFonts w:eastAsia="方正仿宋简体"/>
                <w:color w:val="000000"/>
                <w:sz w:val="24"/>
              </w:rPr>
              <w:t>历史学</w:t>
            </w:r>
          </w:p>
        </w:tc>
        <w:tc>
          <w:tcPr>
            <w:tcW w:w="1920" w:type="dxa"/>
            <w:vAlign w:val="center"/>
          </w:tcPr>
          <w:p>
            <w:pPr>
              <w:spacing w:line="420" w:lineRule="exact"/>
              <w:jc w:val="center"/>
              <w:rPr>
                <w:rFonts w:eastAsia="方正仿宋简体"/>
                <w:color w:val="000000"/>
                <w:sz w:val="24"/>
              </w:rPr>
            </w:pPr>
            <w:r>
              <w:rPr>
                <w:rFonts w:eastAsia="方正仿宋简体"/>
                <w:color w:val="000000"/>
                <w:sz w:val="24"/>
              </w:rPr>
              <w:t>考古学</w:t>
            </w:r>
          </w:p>
        </w:tc>
        <w:tc>
          <w:tcPr>
            <w:tcW w:w="5295" w:type="dxa"/>
            <w:vMerge w:val="restart"/>
            <w:vAlign w:val="center"/>
          </w:tcPr>
          <w:p>
            <w:pPr>
              <w:rPr>
                <w:rFonts w:eastAsia="方正仿宋简体"/>
                <w:color w:val="000000"/>
                <w:sz w:val="24"/>
              </w:rPr>
            </w:pPr>
            <w:r>
              <w:rPr>
                <w:rFonts w:eastAsia="方正仿宋简体"/>
                <w:color w:val="000000"/>
                <w:sz w:val="24"/>
              </w:rPr>
              <w:t>《同等学力人员申请硕士学位历史学学科综合水平全国统一考试大纲及指南》</w:t>
            </w:r>
          </w:p>
        </w:tc>
        <w:tc>
          <w:tcPr>
            <w:tcW w:w="1455" w:type="dxa"/>
            <w:vMerge w:val="restart"/>
            <w:vAlign w:val="center"/>
          </w:tcPr>
          <w:p>
            <w:pPr>
              <w:spacing w:line="420" w:lineRule="exact"/>
              <w:jc w:val="center"/>
              <w:rPr>
                <w:rFonts w:eastAsia="方正仿宋简体"/>
                <w:color w:val="000000"/>
                <w:sz w:val="24"/>
              </w:rPr>
            </w:pPr>
            <w:r>
              <w:rPr>
                <w:rFonts w:eastAsia="方正仿宋简体"/>
                <w:color w:val="000000"/>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185" w:type="dxa"/>
            <w:vMerge w:val="continue"/>
            <w:vAlign w:val="center"/>
          </w:tcPr>
          <w:p>
            <w:pPr>
              <w:spacing w:line="420" w:lineRule="exact"/>
              <w:jc w:val="center"/>
              <w:rPr>
                <w:rFonts w:eastAsia="方正仿宋简体"/>
                <w:color w:val="000000"/>
                <w:sz w:val="24"/>
              </w:rPr>
            </w:pPr>
          </w:p>
        </w:tc>
        <w:tc>
          <w:tcPr>
            <w:tcW w:w="1920" w:type="dxa"/>
            <w:vAlign w:val="center"/>
          </w:tcPr>
          <w:p>
            <w:pPr>
              <w:spacing w:line="420" w:lineRule="exact"/>
              <w:jc w:val="center"/>
              <w:rPr>
                <w:rFonts w:eastAsia="方正仿宋简体"/>
                <w:color w:val="000000"/>
                <w:sz w:val="24"/>
              </w:rPr>
            </w:pPr>
            <w:r>
              <w:rPr>
                <w:rFonts w:eastAsia="方正仿宋简体"/>
                <w:color w:val="000000"/>
                <w:sz w:val="24"/>
              </w:rPr>
              <w:t>中国史</w:t>
            </w:r>
          </w:p>
        </w:tc>
        <w:tc>
          <w:tcPr>
            <w:tcW w:w="5295" w:type="dxa"/>
            <w:vMerge w:val="continue"/>
            <w:vAlign w:val="center"/>
          </w:tcPr>
          <w:p>
            <w:pPr>
              <w:spacing w:line="420" w:lineRule="exact"/>
              <w:rPr>
                <w:rFonts w:eastAsia="方正仿宋简体"/>
                <w:color w:val="000000"/>
                <w:sz w:val="24"/>
              </w:rPr>
            </w:pPr>
          </w:p>
        </w:tc>
        <w:tc>
          <w:tcPr>
            <w:tcW w:w="1455" w:type="dxa"/>
            <w:vMerge w:val="continue"/>
            <w:vAlign w:val="center"/>
          </w:tcPr>
          <w:p>
            <w:pPr>
              <w:spacing w:line="42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1185" w:type="dxa"/>
            <w:vMerge w:val="continue"/>
            <w:vAlign w:val="center"/>
          </w:tcPr>
          <w:p>
            <w:pPr>
              <w:spacing w:line="420" w:lineRule="exact"/>
              <w:jc w:val="center"/>
              <w:rPr>
                <w:rFonts w:eastAsia="方正仿宋简体"/>
                <w:color w:val="000000"/>
                <w:sz w:val="24"/>
              </w:rPr>
            </w:pPr>
          </w:p>
        </w:tc>
        <w:tc>
          <w:tcPr>
            <w:tcW w:w="1920" w:type="dxa"/>
            <w:vAlign w:val="center"/>
          </w:tcPr>
          <w:p>
            <w:pPr>
              <w:spacing w:line="420" w:lineRule="exact"/>
              <w:jc w:val="center"/>
              <w:rPr>
                <w:rFonts w:eastAsia="方正仿宋简体"/>
                <w:color w:val="000000"/>
                <w:sz w:val="24"/>
              </w:rPr>
            </w:pPr>
            <w:r>
              <w:rPr>
                <w:rFonts w:eastAsia="方正仿宋简体"/>
                <w:color w:val="000000"/>
                <w:sz w:val="24"/>
              </w:rPr>
              <w:t>世界史</w:t>
            </w:r>
          </w:p>
        </w:tc>
        <w:tc>
          <w:tcPr>
            <w:tcW w:w="5295" w:type="dxa"/>
            <w:vMerge w:val="continue"/>
            <w:vAlign w:val="center"/>
          </w:tcPr>
          <w:p>
            <w:pPr>
              <w:spacing w:line="420" w:lineRule="exact"/>
              <w:rPr>
                <w:rFonts w:eastAsia="方正仿宋简体"/>
                <w:color w:val="000000"/>
                <w:sz w:val="24"/>
              </w:rPr>
            </w:pPr>
          </w:p>
        </w:tc>
        <w:tc>
          <w:tcPr>
            <w:tcW w:w="1455" w:type="dxa"/>
            <w:vMerge w:val="continue"/>
            <w:vAlign w:val="center"/>
          </w:tcPr>
          <w:p>
            <w:pPr>
              <w:spacing w:line="420" w:lineRule="exact"/>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5" w:type="dxa"/>
            <w:vAlign w:val="center"/>
          </w:tcPr>
          <w:p>
            <w:pPr>
              <w:jc w:val="center"/>
              <w:rPr>
                <w:rFonts w:eastAsia="方正仿宋简体"/>
                <w:color w:val="000000"/>
                <w:sz w:val="24"/>
              </w:rPr>
            </w:pPr>
            <w:r>
              <w:rPr>
                <w:rFonts w:eastAsia="方正仿宋简体"/>
                <w:color w:val="000000"/>
                <w:sz w:val="24"/>
              </w:rPr>
              <w:t>地理学</w:t>
            </w:r>
          </w:p>
        </w:tc>
        <w:tc>
          <w:tcPr>
            <w:tcW w:w="1920" w:type="dxa"/>
            <w:vAlign w:val="center"/>
          </w:tcPr>
          <w:p>
            <w:pPr>
              <w:jc w:val="center"/>
              <w:rPr>
                <w:rFonts w:eastAsia="方正仿宋简体"/>
                <w:color w:val="000000"/>
                <w:sz w:val="24"/>
              </w:rPr>
            </w:pPr>
            <w:r>
              <w:rPr>
                <w:rFonts w:eastAsia="方正仿宋简体"/>
                <w:color w:val="000000"/>
                <w:sz w:val="24"/>
              </w:rPr>
              <w:t>地理学</w:t>
            </w:r>
          </w:p>
        </w:tc>
        <w:tc>
          <w:tcPr>
            <w:tcW w:w="5295" w:type="dxa"/>
            <w:vAlign w:val="center"/>
          </w:tcPr>
          <w:p>
            <w:pPr>
              <w:rPr>
                <w:rFonts w:eastAsia="方正仿宋简体"/>
                <w:color w:val="000000"/>
                <w:sz w:val="24"/>
              </w:rPr>
            </w:pPr>
            <w:r>
              <w:rPr>
                <w:rFonts w:eastAsia="方正仿宋简体"/>
                <w:color w:val="000000"/>
                <w:sz w:val="24"/>
              </w:rPr>
              <w:t>《同等学力人员申请硕士学位地理学学科综合水平全国统一考试大纲及指南》</w:t>
            </w:r>
          </w:p>
        </w:tc>
        <w:tc>
          <w:tcPr>
            <w:tcW w:w="1455" w:type="dxa"/>
            <w:vAlign w:val="center"/>
          </w:tcPr>
          <w:p>
            <w:pPr>
              <w:jc w:val="center"/>
              <w:rPr>
                <w:rFonts w:eastAsia="方正仿宋简体"/>
                <w:color w:val="000000"/>
                <w:sz w:val="24"/>
              </w:rPr>
            </w:pPr>
            <w:r>
              <w:rPr>
                <w:rFonts w:eastAsia="方正仿宋简体"/>
                <w:color w:val="000000"/>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5" w:type="dxa"/>
            <w:vAlign w:val="center"/>
          </w:tcPr>
          <w:p>
            <w:pPr>
              <w:jc w:val="center"/>
              <w:rPr>
                <w:rFonts w:eastAsia="方正仿宋简体"/>
                <w:color w:val="000000"/>
                <w:sz w:val="24"/>
              </w:rPr>
            </w:pPr>
            <w:r>
              <w:rPr>
                <w:rFonts w:eastAsia="方正仿宋简体"/>
                <w:color w:val="000000"/>
                <w:sz w:val="24"/>
              </w:rPr>
              <w:t>生物学</w:t>
            </w:r>
          </w:p>
        </w:tc>
        <w:tc>
          <w:tcPr>
            <w:tcW w:w="1920" w:type="dxa"/>
            <w:vAlign w:val="center"/>
          </w:tcPr>
          <w:p>
            <w:pPr>
              <w:jc w:val="center"/>
              <w:rPr>
                <w:rFonts w:eastAsia="方正仿宋简体"/>
                <w:color w:val="000000"/>
                <w:sz w:val="24"/>
              </w:rPr>
            </w:pPr>
            <w:r>
              <w:rPr>
                <w:rFonts w:eastAsia="方正仿宋简体"/>
                <w:color w:val="000000"/>
                <w:sz w:val="24"/>
              </w:rPr>
              <w:t>生物学</w:t>
            </w:r>
          </w:p>
        </w:tc>
        <w:tc>
          <w:tcPr>
            <w:tcW w:w="5295" w:type="dxa"/>
            <w:vAlign w:val="center"/>
          </w:tcPr>
          <w:p>
            <w:pPr>
              <w:rPr>
                <w:rFonts w:eastAsia="方正仿宋简体"/>
                <w:color w:val="000000"/>
                <w:sz w:val="24"/>
              </w:rPr>
            </w:pPr>
            <w:r>
              <w:rPr>
                <w:rFonts w:eastAsia="方正仿宋简体"/>
                <w:color w:val="000000"/>
                <w:sz w:val="24"/>
              </w:rPr>
              <w:t>《同等学力人员申请硕士学位生物学学科综合水平全国统一考试大纲及指南》</w:t>
            </w:r>
          </w:p>
        </w:tc>
        <w:tc>
          <w:tcPr>
            <w:tcW w:w="1455" w:type="dxa"/>
            <w:vAlign w:val="center"/>
          </w:tcPr>
          <w:p>
            <w:pPr>
              <w:jc w:val="center"/>
              <w:rPr>
                <w:rFonts w:eastAsia="方正仿宋简体"/>
                <w:color w:val="000000"/>
                <w:sz w:val="24"/>
              </w:rPr>
            </w:pPr>
            <w:r>
              <w:rPr>
                <w:rFonts w:eastAsia="方正仿宋简体"/>
                <w:color w:val="000000"/>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5" w:type="dxa"/>
            <w:vAlign w:val="center"/>
          </w:tcPr>
          <w:p>
            <w:pPr>
              <w:jc w:val="center"/>
              <w:rPr>
                <w:rFonts w:eastAsia="方正仿宋简体"/>
                <w:color w:val="000000"/>
                <w:sz w:val="24"/>
              </w:rPr>
            </w:pPr>
            <w:r>
              <w:rPr>
                <w:rFonts w:eastAsia="方正仿宋简体"/>
                <w:color w:val="000000"/>
                <w:sz w:val="24"/>
              </w:rPr>
              <w:t>机械工程</w:t>
            </w:r>
          </w:p>
        </w:tc>
        <w:tc>
          <w:tcPr>
            <w:tcW w:w="1920" w:type="dxa"/>
            <w:vAlign w:val="center"/>
          </w:tcPr>
          <w:p>
            <w:pPr>
              <w:jc w:val="center"/>
              <w:rPr>
                <w:rFonts w:eastAsia="方正仿宋简体"/>
                <w:color w:val="000000"/>
                <w:sz w:val="24"/>
              </w:rPr>
            </w:pPr>
            <w:r>
              <w:rPr>
                <w:rFonts w:eastAsia="方正仿宋简体"/>
                <w:color w:val="000000"/>
                <w:sz w:val="24"/>
              </w:rPr>
              <w:t>机械工程</w:t>
            </w:r>
          </w:p>
        </w:tc>
        <w:tc>
          <w:tcPr>
            <w:tcW w:w="5295" w:type="dxa"/>
            <w:vAlign w:val="center"/>
          </w:tcPr>
          <w:p>
            <w:pPr>
              <w:rPr>
                <w:rFonts w:eastAsia="方正仿宋简体"/>
                <w:color w:val="000000"/>
                <w:sz w:val="24"/>
              </w:rPr>
            </w:pPr>
            <w:r>
              <w:rPr>
                <w:rFonts w:eastAsia="方正仿宋简体"/>
                <w:color w:val="000000"/>
                <w:sz w:val="24"/>
              </w:rPr>
              <w:t>《同等学力人员申请硕士学位机械工程学科综合水平全国统一考试大纲及指南》</w:t>
            </w:r>
          </w:p>
        </w:tc>
        <w:tc>
          <w:tcPr>
            <w:tcW w:w="1455" w:type="dxa"/>
            <w:vAlign w:val="center"/>
          </w:tcPr>
          <w:p>
            <w:pPr>
              <w:jc w:val="center"/>
              <w:rPr>
                <w:rFonts w:eastAsia="方正仿宋简体"/>
                <w:color w:val="000000"/>
                <w:sz w:val="24"/>
              </w:rPr>
            </w:pPr>
            <w:r>
              <w:rPr>
                <w:rFonts w:eastAsia="方正仿宋简体"/>
                <w:color w:val="000000"/>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5" w:type="dxa"/>
            <w:vAlign w:val="center"/>
          </w:tcPr>
          <w:p>
            <w:pPr>
              <w:jc w:val="center"/>
              <w:rPr>
                <w:rFonts w:eastAsia="方正仿宋简体"/>
                <w:color w:val="000000"/>
                <w:sz w:val="24"/>
              </w:rPr>
            </w:pPr>
            <w:r>
              <w:rPr>
                <w:rFonts w:eastAsia="方正仿宋简体"/>
                <w:color w:val="000000"/>
                <w:sz w:val="24"/>
              </w:rPr>
              <w:t>动力工程及工程热物理</w:t>
            </w:r>
          </w:p>
        </w:tc>
        <w:tc>
          <w:tcPr>
            <w:tcW w:w="1920" w:type="dxa"/>
            <w:vAlign w:val="center"/>
          </w:tcPr>
          <w:p>
            <w:pPr>
              <w:jc w:val="center"/>
              <w:rPr>
                <w:rFonts w:eastAsia="方正仿宋简体"/>
                <w:color w:val="000000"/>
                <w:sz w:val="24"/>
              </w:rPr>
            </w:pPr>
            <w:r>
              <w:rPr>
                <w:rFonts w:eastAsia="方正仿宋简体"/>
                <w:color w:val="000000"/>
                <w:sz w:val="24"/>
              </w:rPr>
              <w:t>动力工程及工程热物理</w:t>
            </w:r>
          </w:p>
        </w:tc>
        <w:tc>
          <w:tcPr>
            <w:tcW w:w="5295" w:type="dxa"/>
            <w:vAlign w:val="center"/>
          </w:tcPr>
          <w:p>
            <w:pPr>
              <w:rPr>
                <w:rFonts w:eastAsia="方正仿宋简体"/>
                <w:color w:val="000000"/>
                <w:sz w:val="24"/>
              </w:rPr>
            </w:pPr>
            <w:r>
              <w:rPr>
                <w:rFonts w:eastAsia="方正仿宋简体"/>
                <w:color w:val="000000"/>
                <w:sz w:val="24"/>
              </w:rPr>
              <w:t>《同等学力人员申请硕士学位动力工程及工程热物理学科综合水平全国统一考试大纲及指南》</w:t>
            </w:r>
          </w:p>
        </w:tc>
        <w:tc>
          <w:tcPr>
            <w:tcW w:w="1455" w:type="dxa"/>
            <w:vAlign w:val="center"/>
          </w:tcPr>
          <w:p>
            <w:pPr>
              <w:jc w:val="center"/>
              <w:rPr>
                <w:rFonts w:eastAsia="方正仿宋简体"/>
                <w:color w:val="000000"/>
                <w:sz w:val="24"/>
              </w:rPr>
            </w:pPr>
            <w:r>
              <w:rPr>
                <w:rFonts w:eastAsia="方正仿宋简体"/>
                <w:color w:val="000000"/>
                <w:sz w:val="24"/>
              </w:rPr>
              <w:t>第一版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5" w:type="dxa"/>
            <w:vAlign w:val="center"/>
          </w:tcPr>
          <w:p>
            <w:pPr>
              <w:jc w:val="center"/>
              <w:rPr>
                <w:rFonts w:eastAsia="方正仿宋简体"/>
                <w:color w:val="000000"/>
                <w:sz w:val="24"/>
              </w:rPr>
            </w:pPr>
            <w:r>
              <w:rPr>
                <w:rFonts w:eastAsia="方正仿宋简体"/>
                <w:color w:val="000000"/>
                <w:sz w:val="24"/>
              </w:rPr>
              <w:t>电气工程</w:t>
            </w:r>
          </w:p>
        </w:tc>
        <w:tc>
          <w:tcPr>
            <w:tcW w:w="1920" w:type="dxa"/>
            <w:vAlign w:val="center"/>
          </w:tcPr>
          <w:p>
            <w:pPr>
              <w:jc w:val="center"/>
              <w:rPr>
                <w:rFonts w:eastAsia="方正仿宋简体"/>
                <w:color w:val="000000"/>
                <w:sz w:val="24"/>
              </w:rPr>
            </w:pPr>
            <w:r>
              <w:rPr>
                <w:rFonts w:eastAsia="方正仿宋简体"/>
                <w:color w:val="000000"/>
                <w:sz w:val="24"/>
              </w:rPr>
              <w:t>电气工程</w:t>
            </w:r>
          </w:p>
        </w:tc>
        <w:tc>
          <w:tcPr>
            <w:tcW w:w="5295" w:type="dxa"/>
            <w:vAlign w:val="center"/>
          </w:tcPr>
          <w:p>
            <w:pPr>
              <w:rPr>
                <w:rFonts w:eastAsia="方正仿宋简体"/>
                <w:color w:val="000000"/>
                <w:sz w:val="24"/>
              </w:rPr>
            </w:pPr>
            <w:r>
              <w:rPr>
                <w:rFonts w:eastAsia="方正仿宋简体"/>
                <w:color w:val="000000"/>
                <w:sz w:val="24"/>
              </w:rPr>
              <w:t>《同等学力人员申请硕士学位电气工程学科综合水平全国统一考试大纲及指南》</w:t>
            </w:r>
          </w:p>
        </w:tc>
        <w:tc>
          <w:tcPr>
            <w:tcW w:w="1455" w:type="dxa"/>
            <w:vAlign w:val="center"/>
          </w:tcPr>
          <w:p>
            <w:pPr>
              <w:jc w:val="center"/>
              <w:rPr>
                <w:rFonts w:eastAsia="方正仿宋简体"/>
                <w:color w:val="000000"/>
                <w:sz w:val="24"/>
              </w:rPr>
            </w:pPr>
            <w:r>
              <w:rPr>
                <w:rFonts w:eastAsia="方正仿宋简体"/>
                <w:color w:val="000000"/>
                <w:sz w:val="24"/>
              </w:rPr>
              <w:t>第一版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5" w:type="dxa"/>
            <w:vAlign w:val="center"/>
          </w:tcPr>
          <w:p>
            <w:pPr>
              <w:jc w:val="center"/>
              <w:rPr>
                <w:rFonts w:eastAsia="方正仿宋简体"/>
                <w:color w:val="000000"/>
                <w:sz w:val="24"/>
              </w:rPr>
            </w:pPr>
            <w:r>
              <w:rPr>
                <w:rFonts w:eastAsia="方正仿宋简体"/>
                <w:color w:val="000000"/>
                <w:sz w:val="24"/>
              </w:rPr>
              <w:t>电子科学与技术</w:t>
            </w:r>
          </w:p>
        </w:tc>
        <w:tc>
          <w:tcPr>
            <w:tcW w:w="1920" w:type="dxa"/>
            <w:vAlign w:val="center"/>
          </w:tcPr>
          <w:p>
            <w:pPr>
              <w:jc w:val="center"/>
              <w:rPr>
                <w:rFonts w:eastAsia="方正仿宋简体"/>
                <w:color w:val="000000"/>
                <w:sz w:val="24"/>
              </w:rPr>
            </w:pPr>
            <w:r>
              <w:rPr>
                <w:rFonts w:eastAsia="方正仿宋简体"/>
                <w:color w:val="000000"/>
                <w:sz w:val="24"/>
              </w:rPr>
              <w:t>电子科学与技术</w:t>
            </w:r>
          </w:p>
        </w:tc>
        <w:tc>
          <w:tcPr>
            <w:tcW w:w="5295" w:type="dxa"/>
            <w:vAlign w:val="center"/>
          </w:tcPr>
          <w:p>
            <w:pPr>
              <w:rPr>
                <w:rFonts w:eastAsia="方正仿宋简体"/>
                <w:color w:val="000000"/>
                <w:sz w:val="24"/>
              </w:rPr>
            </w:pPr>
            <w:r>
              <w:rPr>
                <w:rFonts w:eastAsia="方正仿宋简体"/>
                <w:color w:val="000000"/>
                <w:sz w:val="24"/>
              </w:rPr>
              <w:t>《同等学力人员申请硕士学位电子科学与技术学科综合水平全国统一考试大纲及指南》</w:t>
            </w:r>
          </w:p>
        </w:tc>
        <w:tc>
          <w:tcPr>
            <w:tcW w:w="1455" w:type="dxa"/>
            <w:vAlign w:val="center"/>
          </w:tcPr>
          <w:p>
            <w:pPr>
              <w:jc w:val="center"/>
              <w:rPr>
                <w:rFonts w:eastAsia="方正仿宋简体"/>
                <w:color w:val="000000"/>
                <w:sz w:val="24"/>
              </w:rPr>
            </w:pPr>
            <w:r>
              <w:rPr>
                <w:rFonts w:eastAsia="方正仿宋简体"/>
                <w:color w:val="000000"/>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5" w:type="dxa"/>
            <w:vAlign w:val="center"/>
          </w:tcPr>
          <w:p>
            <w:pPr>
              <w:jc w:val="center"/>
              <w:rPr>
                <w:rFonts w:eastAsia="方正仿宋简体"/>
                <w:color w:val="000000"/>
                <w:sz w:val="24"/>
              </w:rPr>
            </w:pPr>
            <w:r>
              <w:rPr>
                <w:rFonts w:eastAsia="方正仿宋简体"/>
                <w:color w:val="000000"/>
                <w:sz w:val="24"/>
              </w:rPr>
              <w:t>信息与通信工程</w:t>
            </w:r>
          </w:p>
        </w:tc>
        <w:tc>
          <w:tcPr>
            <w:tcW w:w="1920" w:type="dxa"/>
            <w:vAlign w:val="center"/>
          </w:tcPr>
          <w:p>
            <w:pPr>
              <w:jc w:val="center"/>
              <w:rPr>
                <w:rFonts w:eastAsia="方正仿宋简体"/>
                <w:color w:val="000000"/>
                <w:sz w:val="24"/>
              </w:rPr>
            </w:pPr>
            <w:r>
              <w:rPr>
                <w:rFonts w:eastAsia="方正仿宋简体"/>
                <w:color w:val="000000"/>
                <w:sz w:val="24"/>
              </w:rPr>
              <w:t>信息与通信工程</w:t>
            </w:r>
          </w:p>
        </w:tc>
        <w:tc>
          <w:tcPr>
            <w:tcW w:w="5295" w:type="dxa"/>
            <w:vAlign w:val="center"/>
          </w:tcPr>
          <w:p>
            <w:pPr>
              <w:rPr>
                <w:rFonts w:eastAsia="方正仿宋简体"/>
                <w:color w:val="000000"/>
                <w:sz w:val="24"/>
              </w:rPr>
            </w:pPr>
            <w:r>
              <w:rPr>
                <w:rFonts w:eastAsia="方正仿宋简体"/>
                <w:color w:val="000000"/>
                <w:sz w:val="24"/>
              </w:rPr>
              <w:t>《同等学力人员申请硕士学位信息与通信工程学科综合水平全国统一考试大纲及指南》</w:t>
            </w:r>
          </w:p>
        </w:tc>
        <w:tc>
          <w:tcPr>
            <w:tcW w:w="1455" w:type="dxa"/>
            <w:vAlign w:val="center"/>
          </w:tcPr>
          <w:p>
            <w:pPr>
              <w:jc w:val="center"/>
              <w:rPr>
                <w:rFonts w:eastAsia="方正仿宋简体"/>
                <w:color w:val="000000"/>
                <w:sz w:val="24"/>
              </w:rPr>
            </w:pPr>
            <w:r>
              <w:rPr>
                <w:rFonts w:eastAsia="方正仿宋简体"/>
                <w:color w:val="000000"/>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5" w:type="dxa"/>
            <w:vAlign w:val="center"/>
          </w:tcPr>
          <w:p>
            <w:pPr>
              <w:jc w:val="center"/>
              <w:rPr>
                <w:rFonts w:eastAsia="方正仿宋简体"/>
                <w:color w:val="000000"/>
                <w:sz w:val="24"/>
              </w:rPr>
            </w:pPr>
            <w:r>
              <w:rPr>
                <w:rFonts w:eastAsia="方正仿宋简体"/>
                <w:color w:val="000000"/>
                <w:sz w:val="24"/>
              </w:rPr>
              <w:t>控制科学与工程</w:t>
            </w:r>
          </w:p>
        </w:tc>
        <w:tc>
          <w:tcPr>
            <w:tcW w:w="1920" w:type="dxa"/>
            <w:vAlign w:val="center"/>
          </w:tcPr>
          <w:p>
            <w:pPr>
              <w:jc w:val="center"/>
              <w:rPr>
                <w:rFonts w:eastAsia="方正仿宋简体"/>
                <w:color w:val="000000"/>
                <w:sz w:val="24"/>
              </w:rPr>
            </w:pPr>
            <w:r>
              <w:rPr>
                <w:rFonts w:eastAsia="方正仿宋简体"/>
                <w:color w:val="000000"/>
                <w:sz w:val="24"/>
              </w:rPr>
              <w:t>控制科学与工程</w:t>
            </w:r>
          </w:p>
        </w:tc>
        <w:tc>
          <w:tcPr>
            <w:tcW w:w="5295" w:type="dxa"/>
            <w:vAlign w:val="center"/>
          </w:tcPr>
          <w:p>
            <w:pPr>
              <w:rPr>
                <w:rFonts w:eastAsia="方正仿宋简体"/>
                <w:color w:val="000000"/>
                <w:sz w:val="24"/>
              </w:rPr>
            </w:pPr>
            <w:r>
              <w:rPr>
                <w:rFonts w:eastAsia="方正仿宋简体"/>
                <w:color w:val="000000"/>
                <w:sz w:val="24"/>
              </w:rPr>
              <w:t>《同等学力人员申请硕士学位控制科学与工程学科综合水平全国统一考试大纲及指南》</w:t>
            </w:r>
          </w:p>
        </w:tc>
        <w:tc>
          <w:tcPr>
            <w:tcW w:w="1455" w:type="dxa"/>
            <w:vAlign w:val="center"/>
          </w:tcPr>
          <w:p>
            <w:pPr>
              <w:jc w:val="center"/>
              <w:rPr>
                <w:rFonts w:eastAsia="方正仿宋简体"/>
                <w:color w:val="000000"/>
                <w:sz w:val="24"/>
              </w:rPr>
            </w:pPr>
            <w:r>
              <w:rPr>
                <w:rFonts w:eastAsia="方正仿宋简体"/>
                <w:color w:val="000000"/>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trPr>
        <w:tc>
          <w:tcPr>
            <w:tcW w:w="1185" w:type="dxa"/>
            <w:vMerge w:val="restart"/>
            <w:vAlign w:val="center"/>
          </w:tcPr>
          <w:p>
            <w:pPr>
              <w:jc w:val="center"/>
              <w:rPr>
                <w:rFonts w:eastAsia="方正仿宋简体"/>
                <w:color w:val="000000"/>
                <w:sz w:val="24"/>
              </w:rPr>
            </w:pPr>
            <w:r>
              <w:rPr>
                <w:rFonts w:eastAsia="方正仿宋简体"/>
                <w:color w:val="000000"/>
                <w:sz w:val="24"/>
              </w:rPr>
              <w:t>计算机科学与技术</w:t>
            </w:r>
          </w:p>
        </w:tc>
        <w:tc>
          <w:tcPr>
            <w:tcW w:w="1920" w:type="dxa"/>
            <w:vAlign w:val="center"/>
          </w:tcPr>
          <w:p>
            <w:pPr>
              <w:jc w:val="center"/>
              <w:rPr>
                <w:rFonts w:eastAsia="方正仿宋简体"/>
                <w:color w:val="000000"/>
                <w:spacing w:val="-14"/>
                <w:sz w:val="24"/>
              </w:rPr>
            </w:pPr>
            <w:r>
              <w:rPr>
                <w:rFonts w:eastAsia="方正仿宋简体"/>
                <w:color w:val="000000"/>
                <w:spacing w:val="-14"/>
                <w:sz w:val="24"/>
              </w:rPr>
              <w:t>计算机科学与技术</w:t>
            </w:r>
          </w:p>
        </w:tc>
        <w:tc>
          <w:tcPr>
            <w:tcW w:w="5295" w:type="dxa"/>
            <w:vMerge w:val="restart"/>
            <w:vAlign w:val="center"/>
          </w:tcPr>
          <w:p>
            <w:pPr>
              <w:rPr>
                <w:rFonts w:eastAsia="方正仿宋简体"/>
                <w:color w:val="000000"/>
                <w:sz w:val="24"/>
              </w:rPr>
            </w:pPr>
            <w:r>
              <w:rPr>
                <w:rFonts w:eastAsia="方正仿宋简体"/>
                <w:color w:val="000000"/>
                <w:sz w:val="24"/>
              </w:rPr>
              <w:t>《同等学力人员申请硕士学位计算机科学与技术学科综合水平全国统一考试大纲及指南》</w:t>
            </w:r>
          </w:p>
        </w:tc>
        <w:tc>
          <w:tcPr>
            <w:tcW w:w="1455" w:type="dxa"/>
            <w:vMerge w:val="restart"/>
            <w:vAlign w:val="center"/>
          </w:tcPr>
          <w:p>
            <w:pPr>
              <w:jc w:val="center"/>
              <w:rPr>
                <w:rFonts w:eastAsia="方正仿宋简体"/>
                <w:color w:val="000000"/>
                <w:sz w:val="24"/>
              </w:rPr>
            </w:pPr>
            <w:r>
              <w:rPr>
                <w:rFonts w:eastAsia="方正仿宋简体"/>
                <w:color w:val="000000"/>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185" w:type="dxa"/>
            <w:vMerge w:val="continue"/>
            <w:vAlign w:val="center"/>
          </w:tcPr>
          <w:p>
            <w:pPr>
              <w:jc w:val="center"/>
              <w:rPr>
                <w:rFonts w:eastAsia="方正仿宋简体"/>
                <w:color w:val="000000"/>
                <w:sz w:val="24"/>
              </w:rPr>
            </w:pPr>
          </w:p>
        </w:tc>
        <w:tc>
          <w:tcPr>
            <w:tcW w:w="1920" w:type="dxa"/>
            <w:vAlign w:val="center"/>
          </w:tcPr>
          <w:p>
            <w:pPr>
              <w:jc w:val="center"/>
              <w:rPr>
                <w:rFonts w:eastAsia="方正仿宋简体"/>
                <w:color w:val="000000"/>
                <w:sz w:val="24"/>
              </w:rPr>
            </w:pPr>
            <w:r>
              <w:rPr>
                <w:rFonts w:eastAsia="方正仿宋简体"/>
                <w:color w:val="000000"/>
                <w:sz w:val="24"/>
              </w:rPr>
              <w:t>软件工程</w:t>
            </w:r>
          </w:p>
        </w:tc>
        <w:tc>
          <w:tcPr>
            <w:tcW w:w="5295" w:type="dxa"/>
            <w:vMerge w:val="continue"/>
            <w:vAlign w:val="center"/>
          </w:tcPr>
          <w:p>
            <w:pPr>
              <w:rPr>
                <w:rFonts w:eastAsia="方正仿宋简体"/>
                <w:color w:val="000000"/>
                <w:sz w:val="24"/>
              </w:rPr>
            </w:pPr>
          </w:p>
        </w:tc>
        <w:tc>
          <w:tcPr>
            <w:tcW w:w="1455" w:type="dxa"/>
            <w:vMerge w:val="continue"/>
            <w:vAlign w:val="center"/>
          </w:tcPr>
          <w:p>
            <w:pPr>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185" w:type="dxa"/>
            <w:vMerge w:val="restart"/>
            <w:vAlign w:val="center"/>
          </w:tcPr>
          <w:p>
            <w:pPr>
              <w:jc w:val="center"/>
              <w:rPr>
                <w:rFonts w:eastAsia="方正仿宋简体"/>
                <w:color w:val="000000"/>
                <w:sz w:val="24"/>
              </w:rPr>
            </w:pPr>
            <w:r>
              <w:rPr>
                <w:rFonts w:eastAsia="方正仿宋简体"/>
                <w:color w:val="000000"/>
                <w:sz w:val="24"/>
              </w:rPr>
              <w:t>建筑学</w:t>
            </w:r>
          </w:p>
        </w:tc>
        <w:tc>
          <w:tcPr>
            <w:tcW w:w="1920" w:type="dxa"/>
            <w:vAlign w:val="center"/>
          </w:tcPr>
          <w:p>
            <w:pPr>
              <w:jc w:val="center"/>
              <w:rPr>
                <w:rFonts w:eastAsia="方正仿宋简体"/>
                <w:color w:val="000000"/>
                <w:sz w:val="24"/>
              </w:rPr>
            </w:pPr>
            <w:r>
              <w:rPr>
                <w:rFonts w:eastAsia="方正仿宋简体"/>
                <w:color w:val="000000"/>
                <w:sz w:val="24"/>
              </w:rPr>
              <w:t>建筑学</w:t>
            </w:r>
          </w:p>
        </w:tc>
        <w:tc>
          <w:tcPr>
            <w:tcW w:w="5295" w:type="dxa"/>
            <w:vMerge w:val="restart"/>
            <w:vAlign w:val="center"/>
          </w:tcPr>
          <w:p>
            <w:pPr>
              <w:rPr>
                <w:rFonts w:eastAsia="方正仿宋简体"/>
                <w:color w:val="000000"/>
                <w:sz w:val="24"/>
              </w:rPr>
            </w:pPr>
            <w:r>
              <w:rPr>
                <w:rFonts w:eastAsia="方正仿宋简体"/>
                <w:color w:val="000000"/>
                <w:sz w:val="24"/>
              </w:rPr>
              <w:t>《同等学力人员申请硕士学位建筑学学科综合水平全国统一考试大纲及指南》</w:t>
            </w:r>
          </w:p>
        </w:tc>
        <w:tc>
          <w:tcPr>
            <w:tcW w:w="1455" w:type="dxa"/>
            <w:vMerge w:val="restart"/>
            <w:vAlign w:val="center"/>
          </w:tcPr>
          <w:p>
            <w:pPr>
              <w:jc w:val="center"/>
              <w:rPr>
                <w:rFonts w:eastAsia="方正仿宋简体"/>
                <w:color w:val="000000"/>
                <w:sz w:val="24"/>
              </w:rPr>
            </w:pPr>
            <w:r>
              <w:rPr>
                <w:rFonts w:eastAsia="方正仿宋简体"/>
                <w:color w:val="000000"/>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185" w:type="dxa"/>
            <w:vMerge w:val="continue"/>
            <w:vAlign w:val="center"/>
          </w:tcPr>
          <w:p>
            <w:pPr>
              <w:jc w:val="center"/>
              <w:rPr>
                <w:rFonts w:eastAsia="方正仿宋简体"/>
                <w:color w:val="000000"/>
                <w:sz w:val="24"/>
              </w:rPr>
            </w:pPr>
          </w:p>
        </w:tc>
        <w:tc>
          <w:tcPr>
            <w:tcW w:w="1920" w:type="dxa"/>
            <w:vAlign w:val="center"/>
          </w:tcPr>
          <w:p>
            <w:pPr>
              <w:jc w:val="center"/>
              <w:rPr>
                <w:rFonts w:eastAsia="方正仿宋简体"/>
                <w:color w:val="000000"/>
                <w:sz w:val="24"/>
              </w:rPr>
            </w:pPr>
            <w:r>
              <w:rPr>
                <w:rFonts w:eastAsia="方正仿宋简体"/>
                <w:color w:val="000000"/>
                <w:sz w:val="24"/>
              </w:rPr>
              <w:t>城乡规划学</w:t>
            </w:r>
          </w:p>
        </w:tc>
        <w:tc>
          <w:tcPr>
            <w:tcW w:w="5295" w:type="dxa"/>
            <w:vMerge w:val="continue"/>
            <w:vAlign w:val="center"/>
          </w:tcPr>
          <w:p>
            <w:pPr>
              <w:rPr>
                <w:rFonts w:eastAsia="方正仿宋简体"/>
                <w:color w:val="000000"/>
                <w:sz w:val="24"/>
              </w:rPr>
            </w:pPr>
          </w:p>
        </w:tc>
        <w:tc>
          <w:tcPr>
            <w:tcW w:w="1455" w:type="dxa"/>
            <w:vMerge w:val="continue"/>
            <w:vAlign w:val="center"/>
          </w:tcPr>
          <w:p>
            <w:pPr>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85" w:type="dxa"/>
            <w:vMerge w:val="continue"/>
            <w:vAlign w:val="center"/>
          </w:tcPr>
          <w:p>
            <w:pPr>
              <w:jc w:val="center"/>
              <w:rPr>
                <w:rFonts w:eastAsia="方正仿宋简体"/>
                <w:color w:val="000000"/>
                <w:sz w:val="24"/>
              </w:rPr>
            </w:pPr>
          </w:p>
        </w:tc>
        <w:tc>
          <w:tcPr>
            <w:tcW w:w="1920" w:type="dxa"/>
            <w:vAlign w:val="center"/>
          </w:tcPr>
          <w:p>
            <w:pPr>
              <w:jc w:val="center"/>
              <w:rPr>
                <w:rFonts w:eastAsia="方正仿宋简体"/>
                <w:color w:val="000000"/>
                <w:sz w:val="24"/>
              </w:rPr>
            </w:pPr>
            <w:r>
              <w:rPr>
                <w:rFonts w:eastAsia="方正仿宋简体"/>
                <w:color w:val="000000"/>
                <w:sz w:val="24"/>
              </w:rPr>
              <w:t>风景园林学</w:t>
            </w:r>
          </w:p>
        </w:tc>
        <w:tc>
          <w:tcPr>
            <w:tcW w:w="5295" w:type="dxa"/>
            <w:vMerge w:val="continue"/>
            <w:vAlign w:val="center"/>
          </w:tcPr>
          <w:p>
            <w:pPr>
              <w:rPr>
                <w:rFonts w:eastAsia="方正仿宋简体"/>
                <w:color w:val="000000"/>
                <w:sz w:val="24"/>
              </w:rPr>
            </w:pPr>
          </w:p>
        </w:tc>
        <w:tc>
          <w:tcPr>
            <w:tcW w:w="1455" w:type="dxa"/>
            <w:vMerge w:val="continue"/>
            <w:vAlign w:val="center"/>
          </w:tcPr>
          <w:p>
            <w:pPr>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5" w:type="dxa"/>
            <w:vAlign w:val="center"/>
          </w:tcPr>
          <w:p>
            <w:pPr>
              <w:jc w:val="center"/>
              <w:rPr>
                <w:rFonts w:eastAsia="方正仿宋简体"/>
                <w:color w:val="000000"/>
                <w:sz w:val="24"/>
              </w:rPr>
            </w:pPr>
            <w:r>
              <w:rPr>
                <w:rFonts w:eastAsia="方正仿宋简体"/>
                <w:color w:val="000000"/>
                <w:sz w:val="24"/>
              </w:rPr>
              <w:t>作物学</w:t>
            </w:r>
          </w:p>
        </w:tc>
        <w:tc>
          <w:tcPr>
            <w:tcW w:w="1920" w:type="dxa"/>
            <w:vAlign w:val="center"/>
          </w:tcPr>
          <w:p>
            <w:pPr>
              <w:jc w:val="center"/>
              <w:rPr>
                <w:rFonts w:eastAsia="方正仿宋简体"/>
                <w:color w:val="000000"/>
                <w:sz w:val="24"/>
              </w:rPr>
            </w:pPr>
            <w:r>
              <w:rPr>
                <w:rFonts w:eastAsia="方正仿宋简体"/>
                <w:color w:val="000000"/>
                <w:sz w:val="24"/>
              </w:rPr>
              <w:t>作物学</w:t>
            </w:r>
          </w:p>
        </w:tc>
        <w:tc>
          <w:tcPr>
            <w:tcW w:w="5295" w:type="dxa"/>
            <w:vAlign w:val="center"/>
          </w:tcPr>
          <w:p>
            <w:pPr>
              <w:rPr>
                <w:rFonts w:eastAsia="方正仿宋简体"/>
                <w:color w:val="000000"/>
                <w:sz w:val="24"/>
              </w:rPr>
            </w:pPr>
            <w:r>
              <w:rPr>
                <w:rFonts w:eastAsia="方正仿宋简体"/>
                <w:color w:val="000000"/>
                <w:sz w:val="24"/>
              </w:rPr>
              <w:t>《同等学力人员申请硕士学位作物学学科综合水平全国统一考试大纲及指南》</w:t>
            </w:r>
          </w:p>
        </w:tc>
        <w:tc>
          <w:tcPr>
            <w:tcW w:w="1455" w:type="dxa"/>
            <w:vAlign w:val="center"/>
          </w:tcPr>
          <w:p>
            <w:pPr>
              <w:jc w:val="center"/>
              <w:rPr>
                <w:rFonts w:eastAsia="方正仿宋简体"/>
                <w:color w:val="000000"/>
                <w:sz w:val="24"/>
              </w:rPr>
            </w:pPr>
            <w:r>
              <w:rPr>
                <w:rFonts w:eastAsia="方正仿宋简体"/>
                <w:color w:val="000000"/>
                <w:sz w:val="24"/>
              </w:rPr>
              <w:t>第一版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1185" w:type="dxa"/>
            <w:vMerge w:val="restart"/>
            <w:vAlign w:val="center"/>
          </w:tcPr>
          <w:p>
            <w:pPr>
              <w:jc w:val="center"/>
              <w:rPr>
                <w:rFonts w:eastAsia="方正仿宋简体"/>
                <w:color w:val="000000"/>
                <w:sz w:val="24"/>
              </w:rPr>
            </w:pPr>
            <w:r>
              <w:rPr>
                <w:rFonts w:eastAsia="方正仿宋简体"/>
                <w:color w:val="000000"/>
                <w:sz w:val="24"/>
              </w:rPr>
              <w:t>临床医学</w:t>
            </w:r>
          </w:p>
        </w:tc>
        <w:tc>
          <w:tcPr>
            <w:tcW w:w="1920" w:type="dxa"/>
            <w:vAlign w:val="center"/>
          </w:tcPr>
          <w:p>
            <w:pPr>
              <w:jc w:val="center"/>
              <w:rPr>
                <w:rFonts w:eastAsia="方正仿宋简体"/>
                <w:color w:val="000000"/>
                <w:sz w:val="24"/>
              </w:rPr>
            </w:pPr>
            <w:r>
              <w:rPr>
                <w:rFonts w:eastAsia="方正仿宋简体"/>
                <w:color w:val="000000"/>
                <w:sz w:val="24"/>
              </w:rPr>
              <w:t>临床医学</w:t>
            </w:r>
          </w:p>
        </w:tc>
        <w:tc>
          <w:tcPr>
            <w:tcW w:w="5295" w:type="dxa"/>
            <w:vMerge w:val="restart"/>
            <w:vAlign w:val="center"/>
          </w:tcPr>
          <w:p>
            <w:pPr>
              <w:rPr>
                <w:rFonts w:eastAsia="方正仿宋简体"/>
                <w:color w:val="000000"/>
                <w:sz w:val="24"/>
              </w:rPr>
            </w:pPr>
            <w:r>
              <w:rPr>
                <w:rFonts w:eastAsia="方正仿宋简体"/>
                <w:color w:val="000000"/>
                <w:sz w:val="24"/>
              </w:rPr>
              <w:t>《同等学力人员申请硕士学位临床医学学科综合水平全国统一考试大纲及指南》</w:t>
            </w:r>
          </w:p>
        </w:tc>
        <w:tc>
          <w:tcPr>
            <w:tcW w:w="1455" w:type="dxa"/>
            <w:vMerge w:val="restart"/>
            <w:vAlign w:val="center"/>
          </w:tcPr>
          <w:p>
            <w:pPr>
              <w:jc w:val="center"/>
              <w:rPr>
                <w:rFonts w:eastAsia="方正仿宋简体"/>
                <w:color w:val="000000"/>
                <w:sz w:val="24"/>
              </w:rPr>
            </w:pPr>
            <w:r>
              <w:rPr>
                <w:rFonts w:eastAsia="方正仿宋简体"/>
                <w:bCs/>
                <w:color w:val="000000"/>
                <w:sz w:val="24"/>
              </w:rPr>
              <w:t>第四版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1185" w:type="dxa"/>
            <w:vMerge w:val="continue"/>
            <w:vAlign w:val="center"/>
          </w:tcPr>
          <w:p>
            <w:pPr>
              <w:jc w:val="center"/>
              <w:rPr>
                <w:rFonts w:eastAsia="方正仿宋简体"/>
                <w:color w:val="000000"/>
                <w:sz w:val="24"/>
              </w:rPr>
            </w:pPr>
          </w:p>
        </w:tc>
        <w:tc>
          <w:tcPr>
            <w:tcW w:w="1920" w:type="dxa"/>
            <w:vAlign w:val="center"/>
          </w:tcPr>
          <w:p>
            <w:pPr>
              <w:jc w:val="center"/>
              <w:rPr>
                <w:rFonts w:eastAsia="方正仿宋简体"/>
                <w:color w:val="000000"/>
                <w:sz w:val="24"/>
              </w:rPr>
            </w:pPr>
            <w:r>
              <w:rPr>
                <w:rFonts w:eastAsia="方正仿宋简体"/>
                <w:color w:val="000000"/>
                <w:sz w:val="24"/>
              </w:rPr>
              <w:t>护理学</w:t>
            </w:r>
          </w:p>
        </w:tc>
        <w:tc>
          <w:tcPr>
            <w:tcW w:w="5295" w:type="dxa"/>
            <w:vMerge w:val="continue"/>
            <w:vAlign w:val="center"/>
          </w:tcPr>
          <w:p>
            <w:pPr>
              <w:rPr>
                <w:rFonts w:eastAsia="方正仿宋简体"/>
                <w:color w:val="000000"/>
                <w:sz w:val="24"/>
              </w:rPr>
            </w:pPr>
          </w:p>
        </w:tc>
        <w:tc>
          <w:tcPr>
            <w:tcW w:w="1455" w:type="dxa"/>
            <w:vMerge w:val="continue"/>
            <w:vAlign w:val="center"/>
          </w:tcPr>
          <w:p>
            <w:pPr>
              <w:jc w:val="center"/>
              <w:rPr>
                <w:rFonts w:eastAsia="方正仿宋简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5" w:type="dxa"/>
            <w:vAlign w:val="center"/>
          </w:tcPr>
          <w:p>
            <w:pPr>
              <w:jc w:val="center"/>
              <w:rPr>
                <w:rFonts w:eastAsia="方正仿宋简体"/>
                <w:color w:val="000000"/>
                <w:sz w:val="24"/>
              </w:rPr>
            </w:pPr>
            <w:r>
              <w:rPr>
                <w:rFonts w:eastAsia="方正仿宋简体"/>
                <w:color w:val="000000"/>
                <w:sz w:val="24"/>
              </w:rPr>
              <w:t>管理科学与工程</w:t>
            </w:r>
          </w:p>
        </w:tc>
        <w:tc>
          <w:tcPr>
            <w:tcW w:w="1920" w:type="dxa"/>
            <w:vAlign w:val="center"/>
          </w:tcPr>
          <w:p>
            <w:pPr>
              <w:jc w:val="center"/>
              <w:rPr>
                <w:rFonts w:eastAsia="方正仿宋简体"/>
                <w:color w:val="000000"/>
                <w:sz w:val="24"/>
              </w:rPr>
            </w:pPr>
            <w:r>
              <w:rPr>
                <w:rFonts w:eastAsia="方正仿宋简体"/>
                <w:color w:val="000000"/>
                <w:sz w:val="24"/>
              </w:rPr>
              <w:t>管理科学与工程</w:t>
            </w:r>
          </w:p>
        </w:tc>
        <w:tc>
          <w:tcPr>
            <w:tcW w:w="5295" w:type="dxa"/>
            <w:vAlign w:val="center"/>
          </w:tcPr>
          <w:p>
            <w:pPr>
              <w:rPr>
                <w:rFonts w:eastAsia="方正仿宋简体"/>
                <w:color w:val="000000"/>
                <w:sz w:val="24"/>
              </w:rPr>
            </w:pPr>
            <w:r>
              <w:rPr>
                <w:rFonts w:eastAsia="方正仿宋简体"/>
                <w:color w:val="000000"/>
                <w:sz w:val="24"/>
              </w:rPr>
              <w:t>《同等学力人员申请硕士学位管理科学与工程学科综合水平全国统一考试大纲及指南》</w:t>
            </w:r>
          </w:p>
        </w:tc>
        <w:tc>
          <w:tcPr>
            <w:tcW w:w="1455" w:type="dxa"/>
            <w:vAlign w:val="center"/>
          </w:tcPr>
          <w:p>
            <w:pPr>
              <w:jc w:val="center"/>
              <w:rPr>
                <w:rFonts w:eastAsia="方正仿宋简体"/>
                <w:color w:val="000000"/>
                <w:sz w:val="24"/>
              </w:rPr>
            </w:pPr>
            <w:r>
              <w:rPr>
                <w:rFonts w:eastAsia="方正仿宋简体"/>
                <w:color w:val="000000"/>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5" w:type="dxa"/>
            <w:vAlign w:val="center"/>
          </w:tcPr>
          <w:p>
            <w:pPr>
              <w:jc w:val="center"/>
              <w:rPr>
                <w:rFonts w:eastAsia="方正仿宋简体"/>
                <w:color w:val="000000"/>
                <w:sz w:val="24"/>
              </w:rPr>
            </w:pPr>
            <w:r>
              <w:rPr>
                <w:rFonts w:eastAsia="方正仿宋简体"/>
                <w:color w:val="000000"/>
                <w:sz w:val="24"/>
              </w:rPr>
              <w:t>工商管理</w:t>
            </w:r>
          </w:p>
        </w:tc>
        <w:tc>
          <w:tcPr>
            <w:tcW w:w="1920" w:type="dxa"/>
            <w:vAlign w:val="center"/>
          </w:tcPr>
          <w:p>
            <w:pPr>
              <w:jc w:val="center"/>
              <w:rPr>
                <w:rFonts w:eastAsia="方正仿宋简体"/>
                <w:color w:val="000000"/>
                <w:sz w:val="24"/>
              </w:rPr>
            </w:pPr>
            <w:r>
              <w:rPr>
                <w:rFonts w:eastAsia="方正仿宋简体"/>
                <w:color w:val="000000"/>
                <w:sz w:val="24"/>
              </w:rPr>
              <w:t>工商管理</w:t>
            </w:r>
          </w:p>
        </w:tc>
        <w:tc>
          <w:tcPr>
            <w:tcW w:w="5295" w:type="dxa"/>
            <w:vAlign w:val="center"/>
          </w:tcPr>
          <w:p>
            <w:pPr>
              <w:rPr>
                <w:rFonts w:eastAsia="方正仿宋简体"/>
                <w:color w:val="000000"/>
                <w:sz w:val="24"/>
              </w:rPr>
            </w:pPr>
            <w:r>
              <w:rPr>
                <w:rFonts w:eastAsia="方正仿宋简体"/>
                <w:color w:val="000000"/>
                <w:sz w:val="24"/>
              </w:rPr>
              <w:t>《同等学力人员申请硕士学位工商管理学科综合水平全国统一考试大纲及指南》</w:t>
            </w:r>
          </w:p>
        </w:tc>
        <w:tc>
          <w:tcPr>
            <w:tcW w:w="1455" w:type="dxa"/>
            <w:vAlign w:val="center"/>
          </w:tcPr>
          <w:p>
            <w:pPr>
              <w:jc w:val="center"/>
              <w:rPr>
                <w:rFonts w:eastAsia="方正仿宋简体"/>
                <w:color w:val="000000"/>
                <w:sz w:val="24"/>
              </w:rPr>
            </w:pPr>
            <w:r>
              <w:rPr>
                <w:rFonts w:eastAsia="方正仿宋简体"/>
                <w:color w:val="000000"/>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5" w:type="dxa"/>
            <w:vAlign w:val="center"/>
          </w:tcPr>
          <w:p>
            <w:pPr>
              <w:jc w:val="center"/>
              <w:rPr>
                <w:rFonts w:eastAsia="方正仿宋简体"/>
                <w:color w:val="000000"/>
                <w:sz w:val="24"/>
              </w:rPr>
            </w:pPr>
            <w:r>
              <w:rPr>
                <w:rFonts w:eastAsia="方正仿宋简体"/>
                <w:color w:val="000000"/>
                <w:sz w:val="24"/>
              </w:rPr>
              <w:t>农林经济</w:t>
            </w:r>
          </w:p>
          <w:p>
            <w:pPr>
              <w:jc w:val="center"/>
              <w:rPr>
                <w:rFonts w:eastAsia="方正仿宋简体"/>
                <w:color w:val="000000"/>
                <w:sz w:val="24"/>
              </w:rPr>
            </w:pPr>
            <w:r>
              <w:rPr>
                <w:rFonts w:eastAsia="方正仿宋简体"/>
                <w:color w:val="000000"/>
                <w:sz w:val="24"/>
              </w:rPr>
              <w:t>管理</w:t>
            </w:r>
          </w:p>
        </w:tc>
        <w:tc>
          <w:tcPr>
            <w:tcW w:w="1920" w:type="dxa"/>
            <w:vAlign w:val="center"/>
          </w:tcPr>
          <w:p>
            <w:pPr>
              <w:jc w:val="center"/>
              <w:rPr>
                <w:rFonts w:eastAsia="方正仿宋简体"/>
                <w:color w:val="000000"/>
                <w:sz w:val="24"/>
              </w:rPr>
            </w:pPr>
            <w:r>
              <w:rPr>
                <w:rFonts w:eastAsia="方正仿宋简体"/>
                <w:color w:val="000000"/>
                <w:sz w:val="24"/>
              </w:rPr>
              <w:t>农林经济管理</w:t>
            </w:r>
          </w:p>
        </w:tc>
        <w:tc>
          <w:tcPr>
            <w:tcW w:w="5295" w:type="dxa"/>
            <w:vAlign w:val="center"/>
          </w:tcPr>
          <w:p>
            <w:pPr>
              <w:rPr>
                <w:rFonts w:eastAsia="方正仿宋简体"/>
                <w:color w:val="000000"/>
                <w:sz w:val="24"/>
              </w:rPr>
            </w:pPr>
            <w:r>
              <w:rPr>
                <w:rFonts w:eastAsia="方正仿宋简体"/>
                <w:color w:val="000000"/>
                <w:sz w:val="24"/>
              </w:rPr>
              <w:t>《同等学力人员申请硕士学位农林经济管理学科综合水平全国统一考试大纲及指南》</w:t>
            </w:r>
          </w:p>
        </w:tc>
        <w:tc>
          <w:tcPr>
            <w:tcW w:w="1455" w:type="dxa"/>
            <w:vAlign w:val="center"/>
          </w:tcPr>
          <w:p>
            <w:pPr>
              <w:jc w:val="center"/>
              <w:rPr>
                <w:rFonts w:eastAsia="方正仿宋简体"/>
                <w:color w:val="000000"/>
                <w:sz w:val="24"/>
              </w:rPr>
            </w:pPr>
            <w:r>
              <w:rPr>
                <w:rFonts w:eastAsia="方正仿宋简体"/>
                <w:color w:val="000000"/>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5" w:type="dxa"/>
            <w:vAlign w:val="center"/>
          </w:tcPr>
          <w:p>
            <w:pPr>
              <w:jc w:val="center"/>
              <w:rPr>
                <w:rFonts w:eastAsia="方正仿宋简体"/>
                <w:color w:val="000000"/>
                <w:sz w:val="24"/>
              </w:rPr>
            </w:pPr>
            <w:r>
              <w:rPr>
                <w:rFonts w:eastAsia="方正仿宋简体"/>
                <w:color w:val="000000"/>
                <w:sz w:val="24"/>
              </w:rPr>
              <w:t>公共管理</w:t>
            </w:r>
          </w:p>
        </w:tc>
        <w:tc>
          <w:tcPr>
            <w:tcW w:w="1920" w:type="dxa"/>
            <w:vAlign w:val="center"/>
          </w:tcPr>
          <w:p>
            <w:pPr>
              <w:jc w:val="center"/>
              <w:rPr>
                <w:rFonts w:eastAsia="方正仿宋简体"/>
                <w:color w:val="000000"/>
                <w:sz w:val="24"/>
              </w:rPr>
            </w:pPr>
            <w:r>
              <w:rPr>
                <w:rFonts w:eastAsia="方正仿宋简体"/>
                <w:color w:val="000000"/>
                <w:sz w:val="24"/>
              </w:rPr>
              <w:t>公共管理</w:t>
            </w:r>
          </w:p>
        </w:tc>
        <w:tc>
          <w:tcPr>
            <w:tcW w:w="5295" w:type="dxa"/>
            <w:vAlign w:val="center"/>
          </w:tcPr>
          <w:p>
            <w:pPr>
              <w:rPr>
                <w:rFonts w:eastAsia="方正仿宋简体"/>
                <w:color w:val="000000"/>
                <w:sz w:val="24"/>
              </w:rPr>
            </w:pPr>
            <w:r>
              <w:rPr>
                <w:rFonts w:eastAsia="方正仿宋简体"/>
                <w:color w:val="000000"/>
                <w:sz w:val="24"/>
              </w:rPr>
              <w:t>《同等学力人员申请硕士学位公共管理学科综合水平全国统一考试大纲及指南》</w:t>
            </w:r>
          </w:p>
        </w:tc>
        <w:tc>
          <w:tcPr>
            <w:tcW w:w="1455" w:type="dxa"/>
            <w:vAlign w:val="center"/>
          </w:tcPr>
          <w:p>
            <w:pPr>
              <w:jc w:val="center"/>
              <w:rPr>
                <w:rFonts w:eastAsia="方正仿宋简体"/>
                <w:color w:val="000000"/>
                <w:sz w:val="24"/>
              </w:rPr>
            </w:pPr>
            <w:r>
              <w:rPr>
                <w:rFonts w:eastAsia="方正仿宋简体"/>
                <w:color w:val="000000"/>
                <w:sz w:val="24"/>
              </w:rPr>
              <w:t>第三版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trPr>
        <w:tc>
          <w:tcPr>
            <w:tcW w:w="1185" w:type="dxa"/>
            <w:vMerge w:val="restart"/>
            <w:vAlign w:val="center"/>
          </w:tcPr>
          <w:p>
            <w:pPr>
              <w:jc w:val="center"/>
              <w:rPr>
                <w:rFonts w:eastAsia="方正仿宋简体"/>
                <w:color w:val="000000"/>
                <w:sz w:val="24"/>
              </w:rPr>
            </w:pPr>
            <w:r>
              <w:rPr>
                <w:rFonts w:eastAsia="方正仿宋简体"/>
                <w:color w:val="000000"/>
                <w:sz w:val="24"/>
              </w:rPr>
              <w:t>图书馆、情报与档案管理</w:t>
            </w:r>
          </w:p>
        </w:tc>
        <w:tc>
          <w:tcPr>
            <w:tcW w:w="1920" w:type="dxa"/>
            <w:vMerge w:val="restart"/>
            <w:vAlign w:val="center"/>
          </w:tcPr>
          <w:p>
            <w:pPr>
              <w:jc w:val="center"/>
              <w:rPr>
                <w:rFonts w:eastAsia="方正仿宋简体"/>
                <w:color w:val="000000"/>
                <w:sz w:val="24"/>
              </w:rPr>
            </w:pPr>
            <w:r>
              <w:rPr>
                <w:rFonts w:eastAsia="方正仿宋简体"/>
                <w:color w:val="000000"/>
                <w:sz w:val="24"/>
              </w:rPr>
              <w:t>图书情报与档案管理</w:t>
            </w:r>
          </w:p>
        </w:tc>
        <w:tc>
          <w:tcPr>
            <w:tcW w:w="5295" w:type="dxa"/>
            <w:vAlign w:val="center"/>
          </w:tcPr>
          <w:p>
            <w:pPr>
              <w:rPr>
                <w:rFonts w:eastAsia="方正仿宋简体"/>
                <w:color w:val="000000"/>
                <w:sz w:val="24"/>
              </w:rPr>
            </w:pPr>
            <w:r>
              <w:rPr>
                <w:rFonts w:eastAsia="方正仿宋简体"/>
                <w:color w:val="000000"/>
                <w:sz w:val="24"/>
              </w:rPr>
              <w:t>《同等学力人员申请硕士学位图书馆、情报与档案管理学科综合水平全国统一考试大纲及指南》</w:t>
            </w:r>
          </w:p>
        </w:tc>
        <w:tc>
          <w:tcPr>
            <w:tcW w:w="1455" w:type="dxa"/>
            <w:vAlign w:val="center"/>
          </w:tcPr>
          <w:p>
            <w:pPr>
              <w:jc w:val="center"/>
              <w:rPr>
                <w:rFonts w:eastAsia="方正仿宋简体"/>
                <w:color w:val="000000"/>
                <w:sz w:val="24"/>
              </w:rPr>
            </w:pPr>
            <w:r>
              <w:rPr>
                <w:rFonts w:eastAsia="方正仿宋简体"/>
                <w:color w:val="000000"/>
                <w:sz w:val="24"/>
              </w:rPr>
              <w:t>第二版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trPr>
        <w:tc>
          <w:tcPr>
            <w:tcW w:w="1185" w:type="dxa"/>
            <w:vMerge w:val="continue"/>
            <w:vAlign w:val="center"/>
          </w:tcPr>
          <w:p>
            <w:pPr>
              <w:jc w:val="center"/>
              <w:rPr>
                <w:rFonts w:eastAsia="方正仿宋简体"/>
                <w:color w:val="000000"/>
                <w:sz w:val="24"/>
              </w:rPr>
            </w:pPr>
          </w:p>
        </w:tc>
        <w:tc>
          <w:tcPr>
            <w:tcW w:w="1920" w:type="dxa"/>
            <w:vMerge w:val="continue"/>
            <w:vAlign w:val="center"/>
          </w:tcPr>
          <w:p>
            <w:pPr>
              <w:jc w:val="center"/>
              <w:rPr>
                <w:rFonts w:eastAsia="方正仿宋简体"/>
                <w:color w:val="000000"/>
                <w:sz w:val="24"/>
              </w:rPr>
            </w:pPr>
          </w:p>
        </w:tc>
        <w:tc>
          <w:tcPr>
            <w:tcW w:w="5295" w:type="dxa"/>
            <w:vAlign w:val="center"/>
          </w:tcPr>
          <w:p>
            <w:pPr>
              <w:rPr>
                <w:rFonts w:eastAsia="方正仿宋简体"/>
                <w:color w:val="000000"/>
                <w:sz w:val="24"/>
              </w:rPr>
            </w:pPr>
            <w:r>
              <w:rPr>
                <w:rFonts w:eastAsia="方正仿宋简体"/>
                <w:color w:val="000000"/>
                <w:sz w:val="24"/>
              </w:rPr>
              <w:t>《同等学力人员申请硕士学位图书馆、情报与档案管理学科综合水平全国统一考试试卷结构调整说明》</w:t>
            </w:r>
          </w:p>
        </w:tc>
        <w:tc>
          <w:tcPr>
            <w:tcW w:w="1455" w:type="dxa"/>
            <w:vAlign w:val="center"/>
          </w:tcPr>
          <w:p>
            <w:pPr>
              <w:jc w:val="center"/>
              <w:rPr>
                <w:rFonts w:eastAsia="方正仿宋简体"/>
                <w:color w:val="000000"/>
                <w:sz w:val="24"/>
              </w:rPr>
            </w:pPr>
            <w:r>
              <w:rPr>
                <w:rFonts w:eastAsia="方正仿宋简体"/>
                <w:color w:val="000000"/>
                <w:sz w:val="24"/>
              </w:rPr>
              <w:t>2020年</w:t>
            </w:r>
          </w:p>
        </w:tc>
      </w:tr>
    </w:tbl>
    <w:p>
      <w:pPr>
        <w:spacing w:line="360" w:lineRule="exact"/>
        <w:ind w:firstLine="480" w:firstLineChars="200"/>
        <w:rPr>
          <w:rFonts w:eastAsia="方正仿宋简体"/>
          <w:color w:val="000000"/>
          <w:sz w:val="24"/>
        </w:rPr>
      </w:pPr>
    </w:p>
    <w:p>
      <w:pPr>
        <w:ind w:firstLine="480" w:firstLineChars="200"/>
        <w:rPr>
          <w:rFonts w:eastAsia="方正仿宋简体"/>
          <w:color w:val="000000"/>
          <w:sz w:val="24"/>
        </w:rPr>
      </w:pPr>
      <w:r>
        <w:rPr>
          <w:rFonts w:eastAsia="方正仿宋简体"/>
          <w:color w:val="000000"/>
          <w:sz w:val="24"/>
        </w:rPr>
        <w:t>注： 1. 本表所列考试大纲有关内容，电子版可在</w:t>
      </w:r>
      <w:r>
        <w:fldChar w:fldCharType="begin"/>
      </w:r>
      <w:r>
        <w:instrText xml:space="preserve"> HYPERLINK </w:instrText>
      </w:r>
      <w:r>
        <w:fldChar w:fldCharType="separate"/>
      </w:r>
      <w:r>
        <w:fldChar w:fldCharType="end"/>
      </w:r>
      <w:r>
        <w:rPr>
          <w:rFonts w:eastAsia="方正仿宋简体"/>
          <w:color w:val="000000"/>
          <w:sz w:val="24"/>
        </w:rPr>
        <w:t>中国教育考试网下载。</w:t>
      </w:r>
    </w:p>
    <w:p>
      <w:pPr>
        <w:ind w:left="1290" w:leftChars="500" w:hanging="240" w:hangingChars="100"/>
        <w:rPr>
          <w:rFonts w:eastAsia="方正仿宋简体"/>
          <w:color w:val="000000"/>
          <w:sz w:val="24"/>
        </w:rPr>
      </w:pPr>
      <w:r>
        <w:rPr>
          <w:rFonts w:eastAsia="方正仿宋简体"/>
          <w:color w:val="000000"/>
          <w:sz w:val="24"/>
        </w:rPr>
        <w:t xml:space="preserve">2. </w:t>
      </w:r>
      <w:r>
        <w:rPr>
          <w:rFonts w:hint="eastAsia" w:eastAsia="方正仿宋简体"/>
          <w:color w:val="000000"/>
          <w:sz w:val="24"/>
        </w:rPr>
        <w:t>按照</w:t>
      </w:r>
      <w:r>
        <w:rPr>
          <w:rFonts w:eastAsia="方正仿宋简体"/>
          <w:color w:val="000000"/>
          <w:sz w:val="24"/>
        </w:rPr>
        <w:t>《研究生教育学科专业目录》（2022年）</w:t>
      </w:r>
      <w:r>
        <w:rPr>
          <w:rFonts w:hint="eastAsia" w:eastAsia="方正仿宋简体"/>
          <w:color w:val="000000"/>
          <w:sz w:val="24"/>
        </w:rPr>
        <w:t>申请学位的同等学力人员</w:t>
      </w:r>
      <w:r>
        <w:rPr>
          <w:rFonts w:eastAsia="方正仿宋简体"/>
          <w:color w:val="000000"/>
          <w:sz w:val="24"/>
        </w:rPr>
        <w:t>，学科专业“1202 工商管理学”对应考试科目为“工商管理”，学科专业“1</w:t>
      </w:r>
      <w:r>
        <w:rPr>
          <w:rFonts w:hint="eastAsia" w:eastAsia="方正仿宋简体"/>
          <w:color w:val="000000"/>
          <w:sz w:val="24"/>
        </w:rPr>
        <w:t>204</w:t>
      </w:r>
      <w:r>
        <w:rPr>
          <w:rFonts w:eastAsia="方正仿宋简体"/>
          <w:color w:val="000000"/>
          <w:sz w:val="24"/>
        </w:rPr>
        <w:t xml:space="preserve"> 公共管理学”对应考试科目为“公共管理”，学科专业“1205 信息资源管理”对应考试科目为 “图书馆、情报与档案管理”。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00000001" w:usb1="0800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197"/>
    <w:rsid w:val="00751197"/>
    <w:rsid w:val="00D93E8B"/>
    <w:rsid w:val="2E0B5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5"/>
    <w:uiPriority w:val="0"/>
    <w:rPr>
      <w:rFonts w:eastAsia="仿宋_GB2312"/>
      <w:sz w:val="28"/>
      <w:szCs w:val="20"/>
    </w:rPr>
  </w:style>
  <w:style w:type="character" w:customStyle="1" w:styleId="5">
    <w:name w:val="日期 Char"/>
    <w:basedOn w:val="4"/>
    <w:link w:val="2"/>
    <w:uiPriority w:val="0"/>
    <w:rPr>
      <w:rFonts w:ascii="Times New Roman" w:hAnsi="Times New Roman" w:eastAsia="仿宋_GB2312" w:cs="Times New Roman"/>
      <w:sz w:val="28"/>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300</Words>
  <Characters>1711</Characters>
  <Lines>14</Lines>
  <Paragraphs>4</Paragraphs>
  <TotalTime>0</TotalTime>
  <ScaleCrop>false</ScaleCrop>
  <LinksUpToDate>false</LinksUpToDate>
  <CharactersWithSpaces>2007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2024-02-01T07:10:00Z</dcterms:created>
  <dc:creator>谢沂楠</dc:creator>
  <cp:lastModifiedBy>瘦弱小李同学</cp:lastModifiedBy>
  <dcterms:modified xsi:type="dcterms:W3CDTF">2024-02-18T01:04:53Z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213937B565B24B76B1028DD15DA67D0D_13</vt:lpwstr>
  </property>
</Properties>
</file>